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A142A3" w:rsidRPr="00615CB5" w:rsidRDefault="00A142A3" w:rsidP="00A142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142A3" w:rsidRPr="00615CB5" w:rsidRDefault="00A142A3" w:rsidP="00A142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142A3" w:rsidRPr="00615CB5" w:rsidRDefault="00A142A3" w:rsidP="00A142A3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C65357">
        <w:rPr>
          <w:rFonts w:ascii="Times New Roman" w:hAnsi="Times New Roman"/>
          <w:sz w:val="28"/>
          <w:szCs w:val="28"/>
        </w:rPr>
        <w:t>2</w:t>
      </w:r>
      <w:r w:rsidR="006F4C65">
        <w:rPr>
          <w:rFonts w:ascii="Times New Roman" w:hAnsi="Times New Roman"/>
          <w:sz w:val="28"/>
          <w:szCs w:val="28"/>
        </w:rPr>
        <w:t>5</w:t>
      </w:r>
      <w:r w:rsidR="005844FC">
        <w:rPr>
          <w:rFonts w:ascii="Times New Roman" w:hAnsi="Times New Roman"/>
          <w:sz w:val="28"/>
          <w:szCs w:val="28"/>
        </w:rPr>
        <w:t>.10.201</w:t>
      </w:r>
      <w:r w:rsidR="006F4C65">
        <w:rPr>
          <w:rFonts w:ascii="Times New Roman" w:hAnsi="Times New Roman"/>
          <w:sz w:val="28"/>
          <w:szCs w:val="28"/>
        </w:rPr>
        <w:t>9</w:t>
      </w:r>
      <w:r w:rsidRPr="001B68EF">
        <w:rPr>
          <w:rFonts w:ascii="Times New Roman" w:hAnsi="Times New Roman"/>
          <w:color w:val="FF0000"/>
          <w:sz w:val="28"/>
          <w:szCs w:val="28"/>
        </w:rPr>
        <w:tab/>
      </w:r>
      <w:r w:rsidR="000B74C6">
        <w:rPr>
          <w:rFonts w:ascii="Times New Roman" w:hAnsi="Times New Roman"/>
          <w:color w:val="FF0000"/>
          <w:sz w:val="28"/>
          <w:szCs w:val="28"/>
        </w:rPr>
        <w:tab/>
      </w:r>
      <w:r w:rsidRPr="00615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A18C1">
        <w:rPr>
          <w:rFonts w:ascii="Times New Roman" w:hAnsi="Times New Roman"/>
          <w:sz w:val="28"/>
          <w:szCs w:val="28"/>
        </w:rPr>
        <w:t xml:space="preserve">                  </w:t>
      </w:r>
      <w:r w:rsidR="00C65357">
        <w:rPr>
          <w:rFonts w:ascii="Times New Roman" w:hAnsi="Times New Roman"/>
          <w:sz w:val="28"/>
          <w:szCs w:val="28"/>
        </w:rPr>
        <w:t xml:space="preserve">№ </w:t>
      </w:r>
      <w:r w:rsidR="000B74C6">
        <w:rPr>
          <w:rFonts w:ascii="Times New Roman" w:hAnsi="Times New Roman"/>
          <w:sz w:val="28"/>
          <w:szCs w:val="28"/>
        </w:rPr>
        <w:t>9</w:t>
      </w:r>
      <w:r w:rsidR="006F4C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-р</w:t>
      </w:r>
    </w:p>
    <w:p w:rsidR="00A142A3" w:rsidRPr="00615CB5" w:rsidRDefault="00A142A3" w:rsidP="00A142A3">
      <w:pPr>
        <w:pStyle w:val="a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6FD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ожидаемых</w:t>
      </w:r>
      <w:r>
        <w:rPr>
          <w:rFonts w:ascii="Times New Roman" w:hAnsi="Times New Roman"/>
          <w:sz w:val="28"/>
          <w:szCs w:val="28"/>
        </w:rPr>
        <w:t xml:space="preserve"> итогах </w:t>
      </w:r>
    </w:p>
    <w:p w:rsidR="00A142A3" w:rsidRPr="00931728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4A18C1"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за 201</w:t>
      </w:r>
      <w:r w:rsidR="006F4C65">
        <w:rPr>
          <w:rFonts w:ascii="Times New Roman" w:hAnsi="Times New Roman"/>
          <w:sz w:val="28"/>
          <w:szCs w:val="28"/>
        </w:rPr>
        <w:t>9</w:t>
      </w:r>
      <w:r w:rsidR="00EB6FD1">
        <w:rPr>
          <w:rFonts w:ascii="Times New Roman" w:hAnsi="Times New Roman"/>
          <w:sz w:val="28"/>
          <w:szCs w:val="28"/>
        </w:rPr>
        <w:t xml:space="preserve"> год</w:t>
      </w: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931728" w:rsidRDefault="00A142A3" w:rsidP="00A142A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>от 18.12.2012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№ 30 «Об утверждении положения об отдельных вопросах </w:t>
      </w:r>
      <w:r>
        <w:rPr>
          <w:rFonts w:ascii="Times New Roman" w:hAnsi="Times New Roman"/>
          <w:sz w:val="28"/>
          <w:szCs w:val="28"/>
        </w:rPr>
        <w:t>организации и осуществления бюд</w:t>
      </w:r>
      <w:r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Нялинское»:</w:t>
      </w:r>
    </w:p>
    <w:p w:rsidR="00A142A3" w:rsidRPr="00931728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Одобрить </w:t>
      </w:r>
      <w:r w:rsidR="00EB6FD1">
        <w:rPr>
          <w:rFonts w:ascii="Times New Roman" w:hAnsi="Times New Roman"/>
          <w:sz w:val="28"/>
          <w:szCs w:val="28"/>
        </w:rPr>
        <w:t>ожидаемые</w:t>
      </w:r>
      <w:r>
        <w:rPr>
          <w:rFonts w:ascii="Times New Roman" w:hAnsi="Times New Roman"/>
          <w:sz w:val="28"/>
          <w:szCs w:val="28"/>
        </w:rPr>
        <w:t xml:space="preserve"> итоги </w:t>
      </w: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за 201</w:t>
      </w:r>
      <w:r w:rsidR="006F4C65">
        <w:rPr>
          <w:rFonts w:ascii="Times New Roman" w:hAnsi="Times New Roman"/>
          <w:sz w:val="28"/>
          <w:szCs w:val="28"/>
        </w:rPr>
        <w:t>9</w:t>
      </w:r>
      <w:r w:rsidR="00EB6FD1">
        <w:rPr>
          <w:rFonts w:ascii="Times New Roman" w:hAnsi="Times New Roman"/>
          <w:sz w:val="28"/>
          <w:szCs w:val="28"/>
        </w:rPr>
        <w:t xml:space="preserve"> год.</w:t>
      </w:r>
    </w:p>
    <w:p w:rsidR="000B74C6" w:rsidRPr="00931728" w:rsidRDefault="000B74C6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Pr="00BD6FE2">
        <w:rPr>
          <w:rFonts w:ascii="Times New Roman" w:hAnsi="Times New Roman"/>
          <w:sz w:val="28"/>
          <w:szCs w:val="28"/>
        </w:rPr>
        <w:t xml:space="preserve">Финансово-экономическому блоку </w:t>
      </w:r>
      <w:r w:rsidR="004A18C1">
        <w:rPr>
          <w:rFonts w:ascii="Times New Roman" w:hAnsi="Times New Roman"/>
          <w:sz w:val="28"/>
          <w:szCs w:val="28"/>
        </w:rPr>
        <w:t xml:space="preserve">АСП Нялинское </w:t>
      </w:r>
      <w:r w:rsidRPr="00BD6FE2">
        <w:rPr>
          <w:rFonts w:ascii="Times New Roman" w:hAnsi="Times New Roman"/>
          <w:sz w:val="28"/>
          <w:szCs w:val="28"/>
        </w:rPr>
        <w:t>использовать для разработки  проекта бюджета сельского поселения Нялинское на 20</w:t>
      </w:r>
      <w:r w:rsidR="006F4C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0B74C6">
        <w:rPr>
          <w:rFonts w:ascii="Times New Roman" w:hAnsi="Times New Roman"/>
          <w:sz w:val="28"/>
          <w:szCs w:val="28"/>
        </w:rPr>
        <w:t>2</w:t>
      </w:r>
      <w:r w:rsidR="006F4C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907A10">
        <w:rPr>
          <w:rFonts w:ascii="Times New Roman" w:hAnsi="Times New Roman"/>
          <w:sz w:val="28"/>
          <w:szCs w:val="28"/>
        </w:rPr>
        <w:t>2</w:t>
      </w:r>
      <w:r w:rsidR="006F4C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гг.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ожидаемые</w:t>
      </w:r>
      <w:r w:rsidRPr="00BD6FE2">
        <w:rPr>
          <w:rFonts w:ascii="Times New Roman" w:hAnsi="Times New Roman"/>
          <w:sz w:val="28"/>
          <w:szCs w:val="28"/>
        </w:rPr>
        <w:t xml:space="preserve"> итоги социально-экономического развития </w:t>
      </w:r>
      <w:r w:rsidR="00EF4F50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за 201</w:t>
      </w:r>
      <w:r w:rsidR="006F4C65">
        <w:rPr>
          <w:rFonts w:ascii="Times New Roman" w:hAnsi="Times New Roman"/>
          <w:sz w:val="28"/>
          <w:szCs w:val="28"/>
        </w:rPr>
        <w:t>9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B6FD1">
        <w:rPr>
          <w:rFonts w:ascii="Times New Roman" w:hAnsi="Times New Roman"/>
          <w:sz w:val="28"/>
          <w:szCs w:val="28"/>
        </w:rPr>
        <w:t>од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0B74C6" w:rsidRPr="00BD6FE2" w:rsidRDefault="000B74C6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распоряжение опубликовать (обнародовать) </w:t>
      </w:r>
      <w:r w:rsidRPr="00BD6FE2">
        <w:rPr>
          <w:rFonts w:ascii="Times New Roman" w:hAnsi="Times New Roman"/>
          <w:sz w:val="28"/>
          <w:szCs w:val="28"/>
        </w:rPr>
        <w:t>на официальном стенде 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, на официальном </w:t>
      </w:r>
      <w:r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разделе 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0B74C6" w:rsidRDefault="000B74C6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0B74C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:rsidR="000B74C6" w:rsidRPr="00BD6FE2" w:rsidRDefault="000B74C6" w:rsidP="00A142A3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9317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1728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распоряжение </w:t>
      </w:r>
      <w:r w:rsidRPr="00931728">
        <w:rPr>
          <w:rFonts w:ascii="Times New Roman" w:hAnsi="Times New Roman"/>
          <w:sz w:val="28"/>
          <w:szCs w:val="28"/>
        </w:rPr>
        <w:t>оставляю за собой.</w:t>
      </w: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A18C1" w:rsidRDefault="004A18C1" w:rsidP="000B74C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15C21" w:rsidRDefault="00A142A3" w:rsidP="000B74C6">
      <w:pPr>
        <w:pStyle w:val="a8"/>
        <w:jc w:val="both"/>
        <w:rPr>
          <w:bCs/>
          <w:sz w:val="26"/>
          <w:szCs w:val="26"/>
        </w:rPr>
      </w:pPr>
      <w:r w:rsidRPr="000B74C6">
        <w:rPr>
          <w:rFonts w:ascii="Times New Roman" w:hAnsi="Times New Roman"/>
          <w:sz w:val="28"/>
          <w:szCs w:val="28"/>
        </w:rPr>
        <w:t xml:space="preserve">Глава сельского поселения Нялинское                             </w:t>
      </w:r>
      <w:r w:rsidR="000B74C6" w:rsidRPr="000B74C6">
        <w:rPr>
          <w:rFonts w:ascii="Times New Roman" w:hAnsi="Times New Roman"/>
          <w:sz w:val="28"/>
          <w:szCs w:val="28"/>
        </w:rPr>
        <w:t>Мамонтова Е.В.</w:t>
      </w:r>
      <w:r w:rsidR="00115C21">
        <w:rPr>
          <w:bCs/>
          <w:sz w:val="26"/>
          <w:szCs w:val="26"/>
        </w:rPr>
        <w:br w:type="page"/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АСП Нялинское</w:t>
      </w:r>
    </w:p>
    <w:p w:rsidR="0023631B" w:rsidRPr="0000607C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142CD0">
        <w:rPr>
          <w:bCs/>
          <w:sz w:val="26"/>
          <w:szCs w:val="26"/>
        </w:rPr>
        <w:t xml:space="preserve"> </w:t>
      </w:r>
      <w:r w:rsidR="005E6A20">
        <w:rPr>
          <w:bCs/>
          <w:sz w:val="26"/>
          <w:szCs w:val="26"/>
        </w:rPr>
        <w:t>2</w:t>
      </w:r>
      <w:r w:rsidR="00B533C6">
        <w:rPr>
          <w:bCs/>
          <w:sz w:val="26"/>
          <w:szCs w:val="26"/>
        </w:rPr>
        <w:t>5</w:t>
      </w:r>
      <w:r w:rsidR="005844FC">
        <w:rPr>
          <w:bCs/>
          <w:sz w:val="26"/>
          <w:szCs w:val="26"/>
        </w:rPr>
        <w:t>.10.201</w:t>
      </w:r>
      <w:r w:rsidR="00D432F2">
        <w:rPr>
          <w:bCs/>
          <w:sz w:val="26"/>
          <w:szCs w:val="26"/>
        </w:rPr>
        <w:t>9</w:t>
      </w:r>
      <w:r w:rsidR="00142CD0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 xml:space="preserve"> №</w:t>
      </w:r>
      <w:r w:rsidR="005E6A20">
        <w:rPr>
          <w:bCs/>
          <w:sz w:val="26"/>
          <w:szCs w:val="26"/>
        </w:rPr>
        <w:t>9</w:t>
      </w:r>
      <w:r w:rsidR="00D432F2">
        <w:rPr>
          <w:bCs/>
          <w:sz w:val="26"/>
          <w:szCs w:val="26"/>
        </w:rPr>
        <w:t>3</w:t>
      </w:r>
      <w:r w:rsidR="005E6A20">
        <w:rPr>
          <w:bCs/>
          <w:sz w:val="26"/>
          <w:szCs w:val="26"/>
        </w:rPr>
        <w:t>-р</w:t>
      </w:r>
    </w:p>
    <w:p w:rsidR="00725B54" w:rsidRPr="00686E2F" w:rsidRDefault="00E15D89" w:rsidP="00E15D89">
      <w:pPr>
        <w:jc w:val="center"/>
      </w:pPr>
      <w:r w:rsidRPr="00686E2F">
        <w:t>ОСНОВНЫЕ ПОКАЗАТЕЛИ</w:t>
      </w:r>
    </w:p>
    <w:p w:rsidR="00E15D89" w:rsidRPr="00686E2F" w:rsidRDefault="00E15D89" w:rsidP="00E15D89">
      <w:pPr>
        <w:jc w:val="center"/>
      </w:pPr>
      <w:r w:rsidRPr="00686E2F">
        <w:t xml:space="preserve">социально-экономического развития сельского поселения Нялинское </w:t>
      </w:r>
    </w:p>
    <w:p w:rsidR="00E15D89" w:rsidRPr="00686E2F" w:rsidRDefault="00DE184C" w:rsidP="00E15D89">
      <w:pPr>
        <w:jc w:val="center"/>
      </w:pPr>
      <w:proofErr w:type="gramStart"/>
      <w:r>
        <w:t>ожидаемые</w:t>
      </w:r>
      <w:proofErr w:type="gramEnd"/>
      <w:r>
        <w:t xml:space="preserve"> за </w:t>
      </w:r>
      <w:r w:rsidR="00E15D89" w:rsidRPr="00686E2F">
        <w:t>201</w:t>
      </w:r>
      <w:r w:rsidR="00D432F2">
        <w:t>9</w:t>
      </w:r>
      <w:r w:rsidR="00E15D89" w:rsidRPr="00686E2F">
        <w:t xml:space="preserve"> год</w:t>
      </w:r>
    </w:p>
    <w:tbl>
      <w:tblPr>
        <w:tblStyle w:val="a6"/>
        <w:tblW w:w="9711" w:type="dxa"/>
        <w:tblLayout w:type="fixed"/>
        <w:tblLook w:val="04A0" w:firstRow="1" w:lastRow="0" w:firstColumn="1" w:lastColumn="0" w:noHBand="0" w:noVBand="1"/>
      </w:tblPr>
      <w:tblGrid>
        <w:gridCol w:w="3652"/>
        <w:gridCol w:w="708"/>
        <w:gridCol w:w="1039"/>
        <w:gridCol w:w="1093"/>
        <w:gridCol w:w="1093"/>
        <w:gridCol w:w="1078"/>
        <w:gridCol w:w="1048"/>
      </w:tblGrid>
      <w:tr w:rsidR="00B533C6" w:rsidRPr="00130A73" w:rsidTr="00130A73">
        <w:trPr>
          <w:trHeight w:val="1215"/>
        </w:trPr>
        <w:tc>
          <w:tcPr>
            <w:tcW w:w="3652" w:type="dxa"/>
            <w:noWrap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hideMark/>
          </w:tcPr>
          <w:p w:rsidR="00B533C6" w:rsidRPr="00130A73" w:rsidRDefault="00B533C6" w:rsidP="00725B54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39" w:type="dxa"/>
            <w:hideMark/>
          </w:tcPr>
          <w:p w:rsidR="00B533C6" w:rsidRPr="00130A73" w:rsidRDefault="00B533C6" w:rsidP="00725B54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2017 год</w:t>
            </w:r>
          </w:p>
          <w:p w:rsidR="00B533C6" w:rsidRPr="00130A73" w:rsidRDefault="00B533C6" w:rsidP="00725B54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(факт)</w:t>
            </w:r>
          </w:p>
        </w:tc>
        <w:tc>
          <w:tcPr>
            <w:tcW w:w="1093" w:type="dxa"/>
          </w:tcPr>
          <w:p w:rsidR="00B533C6" w:rsidRPr="00130A73" w:rsidRDefault="00B533C6" w:rsidP="005E6A20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2018 год (план)</w:t>
            </w:r>
          </w:p>
        </w:tc>
        <w:tc>
          <w:tcPr>
            <w:tcW w:w="1093" w:type="dxa"/>
            <w:hideMark/>
          </w:tcPr>
          <w:p w:rsidR="00B533C6" w:rsidRPr="00130A73" w:rsidRDefault="00B533C6" w:rsidP="006B263D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Темп роста показателей 201</w:t>
            </w:r>
            <w:r w:rsidR="006B263D">
              <w:rPr>
                <w:sz w:val="20"/>
                <w:szCs w:val="20"/>
              </w:rPr>
              <w:t>8</w:t>
            </w:r>
            <w:r w:rsidRPr="00130A73">
              <w:rPr>
                <w:sz w:val="20"/>
                <w:szCs w:val="20"/>
              </w:rPr>
              <w:t xml:space="preserve"> года к 201</w:t>
            </w:r>
            <w:r w:rsidR="006B263D">
              <w:rPr>
                <w:sz w:val="20"/>
                <w:szCs w:val="20"/>
              </w:rPr>
              <w:t>7</w:t>
            </w:r>
            <w:r w:rsidRPr="00130A7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078" w:type="dxa"/>
            <w:hideMark/>
          </w:tcPr>
          <w:p w:rsidR="00B533C6" w:rsidRPr="00130A73" w:rsidRDefault="00B533C6" w:rsidP="00725B54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201</w:t>
            </w:r>
            <w:r w:rsidR="006B263D">
              <w:rPr>
                <w:sz w:val="20"/>
                <w:szCs w:val="20"/>
              </w:rPr>
              <w:t>9</w:t>
            </w:r>
            <w:r w:rsidRPr="00130A73">
              <w:rPr>
                <w:sz w:val="20"/>
                <w:szCs w:val="20"/>
              </w:rPr>
              <w:t xml:space="preserve"> год</w:t>
            </w:r>
          </w:p>
          <w:p w:rsidR="00B533C6" w:rsidRPr="00130A73" w:rsidRDefault="00B533C6" w:rsidP="00725B54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(оценка, план)</w:t>
            </w:r>
          </w:p>
        </w:tc>
        <w:tc>
          <w:tcPr>
            <w:tcW w:w="1048" w:type="dxa"/>
            <w:hideMark/>
          </w:tcPr>
          <w:p w:rsidR="00B533C6" w:rsidRPr="00130A73" w:rsidRDefault="00B533C6" w:rsidP="006B263D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Темп роста показателей 201</w:t>
            </w:r>
            <w:r w:rsidR="006B263D">
              <w:rPr>
                <w:sz w:val="20"/>
                <w:szCs w:val="20"/>
              </w:rPr>
              <w:t>9</w:t>
            </w:r>
            <w:r w:rsidRPr="00130A73">
              <w:rPr>
                <w:sz w:val="20"/>
                <w:szCs w:val="20"/>
              </w:rPr>
              <w:t xml:space="preserve"> года к 201</w:t>
            </w:r>
            <w:r w:rsidR="006B263D">
              <w:rPr>
                <w:sz w:val="20"/>
                <w:szCs w:val="20"/>
              </w:rPr>
              <w:t>8</w:t>
            </w:r>
            <w:r w:rsidRPr="00130A73">
              <w:rPr>
                <w:sz w:val="20"/>
                <w:szCs w:val="20"/>
              </w:rPr>
              <w:t xml:space="preserve"> году</w:t>
            </w:r>
          </w:p>
        </w:tc>
      </w:tr>
      <w:tr w:rsidR="00B533C6" w:rsidRPr="00130A73" w:rsidTr="00130A73">
        <w:trPr>
          <w:trHeight w:val="315"/>
        </w:trPr>
        <w:tc>
          <w:tcPr>
            <w:tcW w:w="3652" w:type="dxa"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</w:tcPr>
          <w:p w:rsidR="00B533C6" w:rsidRPr="00130A73" w:rsidRDefault="00B533C6" w:rsidP="00725B54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noWrap/>
            <w:hideMark/>
          </w:tcPr>
          <w:p w:rsidR="00B533C6" w:rsidRPr="00130A73" w:rsidRDefault="00B533C6" w:rsidP="00725B54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%</w:t>
            </w:r>
          </w:p>
        </w:tc>
        <w:tc>
          <w:tcPr>
            <w:tcW w:w="1078" w:type="dxa"/>
            <w:noWrap/>
            <w:hideMark/>
          </w:tcPr>
          <w:p w:rsidR="00B533C6" w:rsidRPr="00130A73" w:rsidRDefault="00B533C6" w:rsidP="00725B54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533C6" w:rsidRPr="00130A73" w:rsidRDefault="00B533C6" w:rsidP="00725B54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%</w:t>
            </w:r>
          </w:p>
        </w:tc>
      </w:tr>
      <w:tr w:rsidR="00B533C6" w:rsidRPr="00130A73" w:rsidTr="00130A73">
        <w:trPr>
          <w:trHeight w:val="315"/>
        </w:trPr>
        <w:tc>
          <w:tcPr>
            <w:tcW w:w="3652" w:type="dxa"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Труд и занятость населения:</w:t>
            </w:r>
          </w:p>
        </w:tc>
        <w:tc>
          <w:tcPr>
            <w:tcW w:w="708" w:type="dxa"/>
            <w:noWrap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</w:tcPr>
          <w:p w:rsidR="00B533C6" w:rsidRPr="00130A73" w:rsidRDefault="00B533C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noWrap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533C6" w:rsidRPr="00130A73" w:rsidRDefault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4D0326" w:rsidRPr="00130A73" w:rsidRDefault="004D0326" w:rsidP="007A674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1034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1060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102,5%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1068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100,8%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-6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-300,0%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-4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66,7%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Миграционный прирост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30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65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216,7%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12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18,5%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460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446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97,0%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460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103,1%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270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255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94,4%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221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86,7%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численность официально зарегистрированных безработных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33,3%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200,0%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4D0326" w:rsidRPr="00690B58" w:rsidRDefault="004D0326" w:rsidP="00CF599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скот и птица (на убой в живом весе)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noWrap/>
            <w:hideMark/>
          </w:tcPr>
          <w:p w:rsidR="004D0326" w:rsidRPr="00690B58" w:rsidRDefault="004D0326" w:rsidP="00CF599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noWrap/>
            <w:hideMark/>
          </w:tcPr>
          <w:p w:rsidR="004D0326" w:rsidRPr="00690B58" w:rsidRDefault="004D0326" w:rsidP="00CF599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яйцо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тыс.шт.</w:t>
            </w:r>
          </w:p>
        </w:tc>
        <w:tc>
          <w:tcPr>
            <w:tcW w:w="1039" w:type="dxa"/>
            <w:noWrap/>
            <w:hideMark/>
          </w:tcPr>
          <w:p w:rsidR="004D0326" w:rsidRPr="00690B58" w:rsidRDefault="004D0326" w:rsidP="00CF599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картофель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noWrap/>
            <w:hideMark/>
          </w:tcPr>
          <w:p w:rsidR="004D0326" w:rsidRPr="00690B58" w:rsidRDefault="004D0326" w:rsidP="00CF599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овощи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noWrap/>
            <w:hideMark/>
          </w:tcPr>
          <w:p w:rsidR="004D0326" w:rsidRPr="00690B58" w:rsidRDefault="004D0326" w:rsidP="00CF599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поголовье скота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голов</w:t>
            </w:r>
          </w:p>
        </w:tc>
        <w:tc>
          <w:tcPr>
            <w:tcW w:w="1039" w:type="dxa"/>
            <w:noWrap/>
            <w:hideMark/>
          </w:tcPr>
          <w:p w:rsidR="004D0326" w:rsidRPr="00690B58" w:rsidRDefault="004D0326" w:rsidP="00CF599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Финансы: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4D0326" w:rsidRPr="00690B58" w:rsidRDefault="004D0326" w:rsidP="00CF599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 w:rsidP="00423481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Доходы бюджета МО</w:t>
            </w:r>
          </w:p>
        </w:tc>
        <w:tc>
          <w:tcPr>
            <w:tcW w:w="708" w:type="dxa"/>
            <w:hideMark/>
          </w:tcPr>
          <w:p w:rsidR="004D0326" w:rsidRPr="00130A73" w:rsidRDefault="004D0326" w:rsidP="00B533C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тыс</w:t>
            </w:r>
            <w:proofErr w:type="gramStart"/>
            <w:r w:rsidRPr="00130A73">
              <w:rPr>
                <w:sz w:val="20"/>
                <w:szCs w:val="20"/>
              </w:rPr>
              <w:t>.р</w:t>
            </w:r>
            <w:proofErr w:type="gramEnd"/>
            <w:r w:rsidRPr="00130A73">
              <w:rPr>
                <w:sz w:val="20"/>
                <w:szCs w:val="20"/>
              </w:rPr>
              <w:t>уб.</w:t>
            </w:r>
          </w:p>
        </w:tc>
        <w:tc>
          <w:tcPr>
            <w:tcW w:w="1039" w:type="dxa"/>
            <w:noWrap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30254,7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26872,6</w:t>
            </w:r>
          </w:p>
        </w:tc>
        <w:tc>
          <w:tcPr>
            <w:tcW w:w="1093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88,8%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28355,9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105,5%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 w:rsidP="00423481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Расходы бюджета МО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тыс</w:t>
            </w:r>
            <w:proofErr w:type="gramStart"/>
            <w:r w:rsidRPr="00130A73">
              <w:rPr>
                <w:sz w:val="20"/>
                <w:szCs w:val="20"/>
              </w:rPr>
              <w:t>.р</w:t>
            </w:r>
            <w:proofErr w:type="gramEnd"/>
            <w:r w:rsidRPr="00130A73">
              <w:rPr>
                <w:sz w:val="20"/>
                <w:szCs w:val="20"/>
              </w:rPr>
              <w:t>уб.</w:t>
            </w:r>
          </w:p>
        </w:tc>
        <w:tc>
          <w:tcPr>
            <w:tcW w:w="1039" w:type="dxa"/>
            <w:noWrap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30132,2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26655,1</w:t>
            </w:r>
          </w:p>
        </w:tc>
        <w:tc>
          <w:tcPr>
            <w:tcW w:w="1093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88,5%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30497,5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114,4%</w:t>
            </w:r>
          </w:p>
        </w:tc>
      </w:tr>
      <w:tr w:rsidR="004D0326" w:rsidRPr="00690B58" w:rsidTr="004D0326">
        <w:trPr>
          <w:trHeight w:val="315"/>
        </w:trPr>
        <w:tc>
          <w:tcPr>
            <w:tcW w:w="3652" w:type="dxa"/>
            <w:hideMark/>
          </w:tcPr>
          <w:p w:rsidR="004D0326" w:rsidRPr="00690B58" w:rsidRDefault="004D0326">
            <w:pPr>
              <w:rPr>
                <w:sz w:val="20"/>
                <w:szCs w:val="20"/>
              </w:rPr>
            </w:pPr>
            <w:r w:rsidRPr="00690B58">
              <w:rPr>
                <w:sz w:val="20"/>
                <w:szCs w:val="20"/>
              </w:rPr>
              <w:t>Малое предпринимательство:</w:t>
            </w:r>
          </w:p>
        </w:tc>
        <w:tc>
          <w:tcPr>
            <w:tcW w:w="708" w:type="dxa"/>
            <w:hideMark/>
          </w:tcPr>
          <w:p w:rsidR="004D0326" w:rsidRPr="00690B58" w:rsidRDefault="004D0326">
            <w:pPr>
              <w:rPr>
                <w:sz w:val="20"/>
                <w:szCs w:val="20"/>
              </w:rPr>
            </w:pPr>
            <w:r w:rsidRPr="00690B58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4D0326" w:rsidRPr="00690B58" w:rsidRDefault="004D0326" w:rsidP="00CF599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 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Ед.</w:t>
            </w:r>
          </w:p>
        </w:tc>
        <w:tc>
          <w:tcPr>
            <w:tcW w:w="1039" w:type="dxa"/>
            <w:noWrap/>
            <w:hideMark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150,0%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66,7%</w:t>
            </w:r>
          </w:p>
        </w:tc>
      </w:tr>
      <w:tr w:rsidR="004D0326" w:rsidRPr="00130A73" w:rsidTr="004D0326">
        <w:trPr>
          <w:trHeight w:val="3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25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20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80,0%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15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75,0%</w:t>
            </w:r>
          </w:p>
        </w:tc>
      </w:tr>
      <w:tr w:rsidR="004D0326" w:rsidRPr="00130A73" w:rsidTr="004D0326">
        <w:trPr>
          <w:trHeight w:val="615"/>
        </w:trPr>
        <w:tc>
          <w:tcPr>
            <w:tcW w:w="3652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708" w:type="dxa"/>
            <w:hideMark/>
          </w:tcPr>
          <w:p w:rsidR="004D0326" w:rsidRPr="00130A73" w:rsidRDefault="004D0326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4D0326" w:rsidRPr="00130A73" w:rsidRDefault="004D0326" w:rsidP="0046435E">
            <w:pPr>
              <w:rPr>
                <w:sz w:val="20"/>
                <w:szCs w:val="20"/>
              </w:rPr>
            </w:pPr>
            <w:r w:rsidRPr="00130A73">
              <w:rPr>
                <w:sz w:val="20"/>
                <w:szCs w:val="20"/>
              </w:rPr>
              <w:t>23</w:t>
            </w:r>
          </w:p>
        </w:tc>
        <w:tc>
          <w:tcPr>
            <w:tcW w:w="1093" w:type="dxa"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28</w:t>
            </w:r>
          </w:p>
        </w:tc>
        <w:tc>
          <w:tcPr>
            <w:tcW w:w="1093" w:type="dxa"/>
            <w:noWrap/>
            <w:hideMark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121,7%</w:t>
            </w:r>
          </w:p>
        </w:tc>
        <w:tc>
          <w:tcPr>
            <w:tcW w:w="107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28</w:t>
            </w:r>
          </w:p>
        </w:tc>
        <w:tc>
          <w:tcPr>
            <w:tcW w:w="1048" w:type="dxa"/>
            <w:noWrap/>
          </w:tcPr>
          <w:p w:rsidR="004D0326" w:rsidRPr="004D0326" w:rsidRDefault="004D0326" w:rsidP="004D0326">
            <w:pPr>
              <w:rPr>
                <w:sz w:val="20"/>
                <w:szCs w:val="20"/>
              </w:rPr>
            </w:pPr>
            <w:r w:rsidRPr="004D0326">
              <w:rPr>
                <w:sz w:val="20"/>
                <w:szCs w:val="20"/>
              </w:rPr>
              <w:t>100,0%</w:t>
            </w:r>
          </w:p>
        </w:tc>
      </w:tr>
    </w:tbl>
    <w:p w:rsidR="008D6E4C" w:rsidRPr="008D6E4C" w:rsidRDefault="00142CD0" w:rsidP="008D6E4C">
      <w:pPr>
        <w:rPr>
          <w:sz w:val="22"/>
          <w:szCs w:val="22"/>
        </w:rPr>
      </w:pPr>
      <w:r>
        <w:rPr>
          <w:sz w:val="22"/>
          <w:szCs w:val="22"/>
        </w:rPr>
        <w:t xml:space="preserve">Дата составления: </w:t>
      </w:r>
      <w:r w:rsidR="00645AB9">
        <w:rPr>
          <w:sz w:val="22"/>
          <w:szCs w:val="22"/>
        </w:rPr>
        <w:t>2</w:t>
      </w:r>
      <w:r w:rsidR="00EE7BD7">
        <w:rPr>
          <w:sz w:val="22"/>
          <w:szCs w:val="22"/>
        </w:rPr>
        <w:t>5</w:t>
      </w:r>
      <w:r w:rsidR="008D6E4C" w:rsidRPr="008D6E4C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="00A94862">
        <w:rPr>
          <w:sz w:val="22"/>
          <w:szCs w:val="22"/>
        </w:rPr>
        <w:t>.201</w:t>
      </w:r>
      <w:r w:rsidR="00EE7BD7">
        <w:rPr>
          <w:sz w:val="22"/>
          <w:szCs w:val="22"/>
        </w:rPr>
        <w:t>9</w:t>
      </w:r>
      <w:r w:rsidR="008D6E4C" w:rsidRPr="008D6E4C">
        <w:rPr>
          <w:sz w:val="22"/>
          <w:szCs w:val="22"/>
        </w:rPr>
        <w:t>г.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 xml:space="preserve">Исполнитель экономист АСП Нялинское 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>Коптяева Надежда Валерьевна</w:t>
      </w:r>
    </w:p>
    <w:p w:rsidR="0023631B" w:rsidRDefault="008D6E4C" w:rsidP="004D7E4A">
      <w:pPr>
        <w:rPr>
          <w:sz w:val="22"/>
          <w:szCs w:val="22"/>
        </w:rPr>
      </w:pPr>
      <w:r w:rsidRPr="008D6E4C">
        <w:rPr>
          <w:sz w:val="22"/>
          <w:szCs w:val="22"/>
        </w:rPr>
        <w:t>8 (3467) 373526, 373617</w:t>
      </w:r>
      <w:r w:rsidR="0023631B">
        <w:rPr>
          <w:sz w:val="22"/>
          <w:szCs w:val="22"/>
        </w:rPr>
        <w:br w:type="page"/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АСП Нялинское</w:t>
      </w:r>
    </w:p>
    <w:p w:rsidR="0023631B" w:rsidRPr="0000607C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4C735C">
        <w:rPr>
          <w:bCs/>
          <w:sz w:val="26"/>
          <w:szCs w:val="26"/>
        </w:rPr>
        <w:t>2</w:t>
      </w:r>
      <w:r w:rsidR="00FC5D36">
        <w:rPr>
          <w:bCs/>
          <w:sz w:val="26"/>
          <w:szCs w:val="26"/>
        </w:rPr>
        <w:t>5</w:t>
      </w:r>
      <w:r w:rsidR="005844FC">
        <w:rPr>
          <w:bCs/>
          <w:sz w:val="26"/>
          <w:szCs w:val="26"/>
        </w:rPr>
        <w:t>.10.201</w:t>
      </w:r>
      <w:r w:rsidR="00FC5D36">
        <w:rPr>
          <w:bCs/>
          <w:sz w:val="26"/>
          <w:szCs w:val="26"/>
        </w:rPr>
        <w:t>9</w:t>
      </w:r>
      <w:r w:rsidR="00142CD0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№</w:t>
      </w:r>
      <w:r w:rsidR="00717293">
        <w:rPr>
          <w:bCs/>
          <w:sz w:val="26"/>
          <w:szCs w:val="26"/>
        </w:rPr>
        <w:t>9</w:t>
      </w:r>
      <w:r w:rsidR="00FC5D36">
        <w:rPr>
          <w:bCs/>
          <w:sz w:val="26"/>
          <w:szCs w:val="26"/>
        </w:rPr>
        <w:t>3</w:t>
      </w:r>
      <w:r w:rsidR="00142CD0">
        <w:rPr>
          <w:bCs/>
          <w:sz w:val="26"/>
          <w:szCs w:val="26"/>
        </w:rPr>
        <w:t>-р</w:t>
      </w:r>
    </w:p>
    <w:p w:rsidR="0023631B" w:rsidRDefault="0023631B" w:rsidP="0023631B">
      <w:pPr>
        <w:jc w:val="center"/>
        <w:rPr>
          <w:b/>
          <w:bCs/>
        </w:rPr>
      </w:pPr>
    </w:p>
    <w:p w:rsidR="00A66A43" w:rsidRPr="0000607C" w:rsidRDefault="00A66A43" w:rsidP="0023631B">
      <w:pPr>
        <w:jc w:val="center"/>
        <w:rPr>
          <w:b/>
          <w:bCs/>
        </w:rPr>
      </w:pPr>
      <w:bookmarkStart w:id="0" w:name="_GoBack"/>
      <w:bookmarkEnd w:id="0"/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Краткий обзор</w:t>
      </w:r>
    </w:p>
    <w:p w:rsidR="0023631B" w:rsidRPr="0000607C" w:rsidRDefault="00385A99" w:rsidP="0023631B">
      <w:pPr>
        <w:jc w:val="center"/>
        <w:rPr>
          <w:b/>
          <w:bCs/>
        </w:rPr>
      </w:pPr>
      <w:r>
        <w:rPr>
          <w:b/>
          <w:bCs/>
        </w:rPr>
        <w:t>ожидаемых</w:t>
      </w:r>
      <w:r w:rsidR="0023631B" w:rsidRPr="0000607C">
        <w:rPr>
          <w:b/>
          <w:bCs/>
        </w:rPr>
        <w:t xml:space="preserve"> итогов социально-экономического развития 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сельского поселения Нялинское за </w:t>
      </w:r>
      <w:r w:rsidR="00142CD0">
        <w:rPr>
          <w:b/>
          <w:bCs/>
        </w:rPr>
        <w:t>201</w:t>
      </w:r>
      <w:r w:rsidR="007E448A">
        <w:rPr>
          <w:b/>
          <w:bCs/>
        </w:rPr>
        <w:t>9</w:t>
      </w:r>
      <w:r w:rsidR="00385A99">
        <w:rPr>
          <w:b/>
          <w:bCs/>
        </w:rPr>
        <w:t xml:space="preserve"> год</w:t>
      </w:r>
    </w:p>
    <w:p w:rsidR="0023631B" w:rsidRPr="0000607C" w:rsidRDefault="0023631B" w:rsidP="0023631B">
      <w:pPr>
        <w:jc w:val="center"/>
      </w:pPr>
    </w:p>
    <w:p w:rsidR="0023631B" w:rsidRPr="00995E68" w:rsidRDefault="00385A99" w:rsidP="0023631B">
      <w:pPr>
        <w:ind w:firstLine="855"/>
        <w:jc w:val="both"/>
      </w:pPr>
      <w:r w:rsidRPr="00995E68">
        <w:t>Ожидаемые</w:t>
      </w:r>
      <w:r w:rsidR="0023631B" w:rsidRPr="00995E68">
        <w:t xml:space="preserve"> итоги социально-экономического развития сельского поселения Нялинское за 201</w:t>
      </w:r>
      <w:r w:rsidR="0082770C">
        <w:t>9</w:t>
      </w:r>
      <w:r w:rsidR="0023631B" w:rsidRPr="00995E68">
        <w:t xml:space="preserve"> год можно охарактеризовать с</w:t>
      </w:r>
      <w:r w:rsidRPr="00995E68">
        <w:t>ледующими основными изменениями</w:t>
      </w:r>
      <w:r w:rsidR="0023631B" w:rsidRPr="00995E68">
        <w:t xml:space="preserve">: </w:t>
      </w:r>
    </w:p>
    <w:p w:rsidR="00211E79" w:rsidRPr="00953381" w:rsidRDefault="00211E79" w:rsidP="00211E79">
      <w:pPr>
        <w:ind w:firstLine="855"/>
        <w:jc w:val="both"/>
      </w:pPr>
      <w:r w:rsidRPr="00953381">
        <w:rPr>
          <w:b/>
          <w:bCs/>
        </w:rPr>
        <w:t>Количество рождений</w:t>
      </w:r>
      <w:r w:rsidRPr="00953381">
        <w:t xml:space="preserve"> за истекший период 201</w:t>
      </w:r>
      <w:r>
        <w:t>9</w:t>
      </w:r>
      <w:r w:rsidRPr="00953381">
        <w:t xml:space="preserve"> года составило </w:t>
      </w:r>
      <w:r>
        <w:rPr>
          <w:b/>
        </w:rPr>
        <w:t>4</w:t>
      </w:r>
      <w:r>
        <w:t xml:space="preserve"> младенца</w:t>
      </w:r>
      <w:r w:rsidRPr="00953381">
        <w:t xml:space="preserve">, что на </w:t>
      </w:r>
      <w:r>
        <w:t>1</w:t>
      </w:r>
      <w:r w:rsidRPr="00953381">
        <w:t xml:space="preserve"> малыша </w:t>
      </w:r>
      <w:r>
        <w:t>меньше</w:t>
      </w:r>
      <w:r w:rsidRPr="00953381">
        <w:t xml:space="preserve"> чем в 201</w:t>
      </w:r>
      <w:r>
        <w:t>8</w:t>
      </w:r>
      <w:r w:rsidRPr="00953381">
        <w:t xml:space="preserve"> году.</w:t>
      </w:r>
    </w:p>
    <w:p w:rsidR="00211E79" w:rsidRPr="00472B66" w:rsidRDefault="00211E79" w:rsidP="00211E79">
      <w:pPr>
        <w:ind w:firstLine="855"/>
        <w:jc w:val="both"/>
      </w:pPr>
      <w:r w:rsidRPr="00472B66">
        <w:rPr>
          <w:b/>
          <w:bCs/>
        </w:rPr>
        <w:t>Количество смертей</w:t>
      </w:r>
      <w:r w:rsidRPr="00472B66">
        <w:t xml:space="preserve"> за истекший период 201</w:t>
      </w:r>
      <w:r>
        <w:t>9</w:t>
      </w:r>
      <w:r w:rsidRPr="00472B66">
        <w:t xml:space="preserve"> года составило </w:t>
      </w:r>
      <w:r>
        <w:rPr>
          <w:b/>
          <w:bCs/>
        </w:rPr>
        <w:t>8</w:t>
      </w:r>
      <w:r w:rsidRPr="00472B66">
        <w:t xml:space="preserve"> случаев, что </w:t>
      </w:r>
      <w:r>
        <w:t>мен</w:t>
      </w:r>
      <w:r w:rsidRPr="00472B66">
        <w:t>ьше показателя 201</w:t>
      </w:r>
      <w:r>
        <w:t>8</w:t>
      </w:r>
      <w:r w:rsidRPr="00472B66">
        <w:t xml:space="preserve"> года на </w:t>
      </w:r>
      <w:r>
        <w:t>1</w:t>
      </w:r>
      <w:r w:rsidRPr="00472B66">
        <w:t xml:space="preserve"> случа</w:t>
      </w:r>
      <w:r>
        <w:t>й</w:t>
      </w:r>
      <w:r w:rsidRPr="00472B66">
        <w:t>.</w:t>
      </w:r>
    </w:p>
    <w:p w:rsidR="0023631B" w:rsidRPr="00995E68" w:rsidRDefault="00995E68" w:rsidP="0023631B">
      <w:pPr>
        <w:ind w:firstLine="855"/>
        <w:jc w:val="both"/>
      </w:pPr>
      <w:r w:rsidRPr="00472B66">
        <w:t xml:space="preserve">В результате по предварительным итогам текущего года имеем </w:t>
      </w:r>
      <w:r w:rsidRPr="00472B66">
        <w:rPr>
          <w:b/>
          <w:bCs/>
        </w:rPr>
        <w:t xml:space="preserve">отрицательный </w:t>
      </w:r>
      <w:r w:rsidRPr="00995E68">
        <w:rPr>
          <w:b/>
          <w:bCs/>
        </w:rPr>
        <w:t>естественный прирост -4 человека</w:t>
      </w:r>
      <w:r w:rsidR="00611945" w:rsidRPr="00995E68">
        <w:rPr>
          <w:b/>
          <w:bCs/>
        </w:rPr>
        <w:t xml:space="preserve"> </w:t>
      </w:r>
      <w:r w:rsidR="00611945" w:rsidRPr="00995E68">
        <w:rPr>
          <w:bCs/>
        </w:rPr>
        <w:t xml:space="preserve">и ожидаем, что </w:t>
      </w:r>
      <w:r w:rsidR="00F70CAA" w:rsidRPr="00995E68">
        <w:t>до конца года этот показатель не измениться.</w:t>
      </w:r>
    </w:p>
    <w:p w:rsidR="0023631B" w:rsidRPr="008D6114" w:rsidRDefault="004858DA" w:rsidP="0023631B">
      <w:pPr>
        <w:ind w:firstLine="855"/>
        <w:jc w:val="both"/>
      </w:pPr>
      <w:r w:rsidRPr="00414327">
        <w:rPr>
          <w:b/>
          <w:bCs/>
        </w:rPr>
        <w:t>Миграционный прирост</w:t>
      </w:r>
      <w:r w:rsidRPr="00414327">
        <w:t xml:space="preserve"> в разрезе постоянно проживающего населения без учета студентов и занятых вне территории сельского поселения за истекший период 2018 года </w:t>
      </w:r>
      <w:r w:rsidRPr="00414327">
        <w:rPr>
          <w:b/>
        </w:rPr>
        <w:t xml:space="preserve">положительный, прирост составил </w:t>
      </w:r>
      <w:r>
        <w:rPr>
          <w:b/>
        </w:rPr>
        <w:t>12</w:t>
      </w:r>
      <w:r w:rsidRPr="00414327">
        <w:rPr>
          <w:b/>
        </w:rPr>
        <w:t xml:space="preserve"> человек</w:t>
      </w:r>
      <w:r w:rsidRPr="00414327">
        <w:t xml:space="preserve"> (прибыло – </w:t>
      </w:r>
      <w:r>
        <w:t>62</w:t>
      </w:r>
      <w:r w:rsidRPr="00414327">
        <w:t xml:space="preserve">, убыло – </w:t>
      </w:r>
      <w:r>
        <w:t>50</w:t>
      </w:r>
      <w:r w:rsidRPr="00414327">
        <w:t xml:space="preserve"> человек). В 201</w:t>
      </w:r>
      <w:r>
        <w:t>8</w:t>
      </w:r>
      <w:r w:rsidRPr="00414327">
        <w:t xml:space="preserve"> году за аналогичный период </w:t>
      </w:r>
      <w:r>
        <w:t>миграционный прирост населения составил 65 человек</w:t>
      </w:r>
      <w:r w:rsidRPr="00414327">
        <w:t xml:space="preserve">. </w:t>
      </w:r>
      <w:r>
        <w:t>Положительная миграционная динамика последних лет обусловлена более полным миграционным учетом временно пребывающего населения (работники с семьями и учащиеся Кадетской школы)</w:t>
      </w:r>
      <w:r w:rsidRPr="00414327">
        <w:t>.</w:t>
      </w:r>
      <w:r w:rsidR="00015C2E">
        <w:t xml:space="preserve"> Так как миграционное движение населения связано преимущественно с </w:t>
      </w:r>
      <w:r w:rsidR="00DA0A88">
        <w:t xml:space="preserve">работой образовательного учреждения, делаем вывод, что </w:t>
      </w:r>
      <w:r w:rsidR="00CB4B8E">
        <w:t xml:space="preserve">ситуация с миграцией населения на 1 октября </w:t>
      </w:r>
      <w:r w:rsidR="00B34332">
        <w:t>сформировалась</w:t>
      </w:r>
      <w:r w:rsidR="00CD6188">
        <w:t xml:space="preserve"> и до конца года значительных изменений не ожидается. Поэтому </w:t>
      </w:r>
      <w:r w:rsidR="008F2330">
        <w:t>ожидаем, что показатель миграционного прироста</w:t>
      </w:r>
      <w:r w:rsidR="000C422B">
        <w:t xml:space="preserve"> до конца года не измениться.</w:t>
      </w:r>
    </w:p>
    <w:p w:rsidR="0023631B" w:rsidRDefault="007825E5" w:rsidP="0023631B">
      <w:pPr>
        <w:ind w:firstLine="855"/>
        <w:jc w:val="both"/>
      </w:pPr>
      <w:r w:rsidRPr="00C04FC7">
        <w:rPr>
          <w:b/>
          <w:bCs/>
        </w:rPr>
        <w:t>Численность постоянного проживающего населения</w:t>
      </w:r>
      <w:r w:rsidRPr="00C04FC7">
        <w:rPr>
          <w:b/>
        </w:rPr>
        <w:t xml:space="preserve"> (среднегодовая)</w:t>
      </w:r>
      <w:r w:rsidR="00A77448">
        <w:t>, на основании</w:t>
      </w:r>
      <w:r w:rsidR="004972F1">
        <w:t xml:space="preserve"> </w:t>
      </w:r>
      <w:r w:rsidR="00A77448">
        <w:t>ожидаемого прироста</w:t>
      </w:r>
      <w:r w:rsidR="004972F1">
        <w:t xml:space="preserve"> населения,</w:t>
      </w:r>
      <w:r w:rsidR="00A77448">
        <w:t xml:space="preserve"> по</w:t>
      </w:r>
      <w:r w:rsidRPr="00C04FC7">
        <w:t xml:space="preserve"> итогам </w:t>
      </w:r>
      <w:r w:rsidR="00272AAF">
        <w:t>2019</w:t>
      </w:r>
      <w:r w:rsidRPr="00C04FC7">
        <w:t xml:space="preserve"> года состав</w:t>
      </w:r>
      <w:r w:rsidR="00A77448">
        <w:t>и</w:t>
      </w:r>
      <w:r w:rsidRPr="00C04FC7">
        <w:t xml:space="preserve">т </w:t>
      </w:r>
      <w:r w:rsidR="00A77448">
        <w:rPr>
          <w:b/>
        </w:rPr>
        <w:t>10</w:t>
      </w:r>
      <w:r w:rsidR="00272AAF">
        <w:rPr>
          <w:b/>
        </w:rPr>
        <w:t>68</w:t>
      </w:r>
      <w:r w:rsidR="00012B29">
        <w:t xml:space="preserve"> человек, исходя из расчета</w:t>
      </w:r>
      <w:r w:rsidRPr="00C04FC7">
        <w:t xml:space="preserve"> </w:t>
      </w:r>
      <w:r w:rsidR="001C794E">
        <w:t>среднегодов</w:t>
      </w:r>
      <w:r w:rsidR="00012B29">
        <w:t>ой</w:t>
      </w:r>
      <w:r w:rsidR="001C794E">
        <w:t xml:space="preserve"> </w:t>
      </w:r>
      <w:r w:rsidRPr="00C04FC7">
        <w:t>численност</w:t>
      </w:r>
      <w:r w:rsidR="00012B29">
        <w:t>и</w:t>
      </w:r>
      <w:r w:rsidRPr="00C04FC7">
        <w:t xml:space="preserve"> проживающего населения 1</w:t>
      </w:r>
      <w:r w:rsidR="00272AAF">
        <w:t>060</w:t>
      </w:r>
      <w:r w:rsidRPr="00C04FC7">
        <w:t xml:space="preserve"> человек</w:t>
      </w:r>
      <w:r w:rsidR="00012B29">
        <w:t xml:space="preserve"> (на 01.01.2019г.) увеличенной на величину общего прироста населения 8 человек (-4, +12</w:t>
      </w:r>
      <w:r w:rsidR="00FE67BE">
        <w:t xml:space="preserve"> человек</w:t>
      </w:r>
      <w:r w:rsidR="00012B29">
        <w:t>)</w:t>
      </w:r>
      <w:r w:rsidRPr="00C04FC7">
        <w:t xml:space="preserve">. Сюда </w:t>
      </w:r>
      <w:proofErr w:type="gramStart"/>
      <w:r w:rsidRPr="00C04FC7">
        <w:t>включены</w:t>
      </w:r>
      <w:proofErr w:type="gramEnd"/>
      <w:r w:rsidRPr="00C04FC7">
        <w:t xml:space="preserve"> в том числе семьи работников Кадетской школы и </w:t>
      </w:r>
      <w:r w:rsidRPr="007825E5">
        <w:t>учащиеся.</w:t>
      </w:r>
    </w:p>
    <w:p w:rsidR="00AF39CC" w:rsidRPr="007825E5" w:rsidRDefault="006C2768" w:rsidP="0023631B">
      <w:pPr>
        <w:ind w:firstLine="855"/>
        <w:jc w:val="both"/>
        <w:rPr>
          <w:b/>
        </w:rPr>
      </w:pPr>
      <w:r w:rsidRPr="006C2768">
        <w:t>Рост</w:t>
      </w:r>
      <w:r>
        <w:rPr>
          <w:b/>
        </w:rPr>
        <w:t xml:space="preserve"> ч</w:t>
      </w:r>
      <w:r w:rsidR="004E663A" w:rsidRPr="00672F70">
        <w:rPr>
          <w:b/>
          <w:bCs/>
        </w:rPr>
        <w:t>исленност</w:t>
      </w:r>
      <w:r>
        <w:rPr>
          <w:b/>
          <w:bCs/>
        </w:rPr>
        <w:t>и</w:t>
      </w:r>
      <w:r w:rsidR="004E663A" w:rsidRPr="00672F70">
        <w:rPr>
          <w:b/>
          <w:bCs/>
        </w:rPr>
        <w:t xml:space="preserve"> экономически активного населения</w:t>
      </w:r>
      <w:r w:rsidR="004E663A" w:rsidRPr="00672F70">
        <w:t xml:space="preserve"> </w:t>
      </w:r>
      <w:r>
        <w:t>предположительно составит</w:t>
      </w:r>
      <w:r w:rsidR="004E663A" w:rsidRPr="00672F70">
        <w:t xml:space="preserve"> </w:t>
      </w:r>
      <w:r>
        <w:t>3,1</w:t>
      </w:r>
      <w:r w:rsidR="004E663A" w:rsidRPr="00672F70">
        <w:t>% по сравнению с показателем за 201</w:t>
      </w:r>
      <w:r w:rsidR="004E663A">
        <w:t>8</w:t>
      </w:r>
      <w:r w:rsidR="004E663A" w:rsidRPr="00672F70">
        <w:t xml:space="preserve"> год</w:t>
      </w:r>
      <w:r w:rsidR="004E663A">
        <w:t xml:space="preserve"> и</w:t>
      </w:r>
      <w:r w:rsidR="00056A55">
        <w:t xml:space="preserve"> составит на конец года</w:t>
      </w:r>
      <w:r w:rsidR="004E663A" w:rsidRPr="00672F70">
        <w:t xml:space="preserve"> </w:t>
      </w:r>
      <w:r w:rsidR="004E663A" w:rsidRPr="00672F70">
        <w:rPr>
          <w:b/>
        </w:rPr>
        <w:t>4</w:t>
      </w:r>
      <w:r w:rsidR="004E663A">
        <w:rPr>
          <w:b/>
        </w:rPr>
        <w:t>6</w:t>
      </w:r>
      <w:r w:rsidR="00056A55">
        <w:rPr>
          <w:b/>
        </w:rPr>
        <w:t>0</w:t>
      </w:r>
      <w:r w:rsidR="004E663A" w:rsidRPr="00672F70">
        <w:t xml:space="preserve"> человек. При этом общая численность занятых в экономике сельского поселения состав</w:t>
      </w:r>
      <w:r w:rsidR="000B58DA">
        <w:t>и</w:t>
      </w:r>
      <w:r w:rsidR="004E663A" w:rsidRPr="00672F70">
        <w:t xml:space="preserve">т </w:t>
      </w:r>
      <w:proofErr w:type="gramStart"/>
      <w:r w:rsidR="000B58DA">
        <w:t>на конец</w:t>
      </w:r>
      <w:proofErr w:type="gramEnd"/>
      <w:r w:rsidR="000B58DA">
        <w:t xml:space="preserve"> 2019 года </w:t>
      </w:r>
      <w:r w:rsidR="004E663A" w:rsidRPr="00672F70">
        <w:t>2</w:t>
      </w:r>
      <w:r w:rsidR="004E663A">
        <w:t>21</w:t>
      </w:r>
      <w:r w:rsidR="004E663A" w:rsidRPr="00672F70">
        <w:t xml:space="preserve"> человек</w:t>
      </w:r>
      <w:r w:rsidR="004E663A">
        <w:t xml:space="preserve">, что на </w:t>
      </w:r>
      <w:r w:rsidR="000B58DA">
        <w:t>13,3</w:t>
      </w:r>
      <w:r w:rsidR="004E663A">
        <w:t>% ниже показателя 2018 года. Рост экономически активного населения произошел за счет занятых «в городе» (вне сельского поселения)</w:t>
      </w:r>
      <w:r w:rsidR="004E663A" w:rsidRPr="00672F70">
        <w:t>, зарегистрированных на территори</w:t>
      </w:r>
      <w:r w:rsidR="004E663A">
        <w:t xml:space="preserve">и сельского поселения, численность которых на 01.10.2019г. составила 218 человек </w:t>
      </w:r>
      <w:r w:rsidR="004E663A" w:rsidRPr="00672F70">
        <w:t>(на 01.10.201</w:t>
      </w:r>
      <w:r w:rsidR="004E663A">
        <w:t>8г. – 195</w:t>
      </w:r>
      <w:r w:rsidR="004E663A" w:rsidRPr="00672F70">
        <w:t xml:space="preserve"> человек</w:t>
      </w:r>
      <w:r w:rsidR="004E663A" w:rsidRPr="006A6AAA">
        <w:t>). При этом</w:t>
      </w:r>
      <w:proofErr w:type="gramStart"/>
      <w:r w:rsidR="004E663A" w:rsidRPr="006A6AAA">
        <w:t>,</w:t>
      </w:r>
      <w:proofErr w:type="gramEnd"/>
      <w:r w:rsidR="004E663A" w:rsidRPr="006A6AAA">
        <w:t xml:space="preserve"> по итогам 201</w:t>
      </w:r>
      <w:r w:rsidR="004E663A">
        <w:t>8</w:t>
      </w:r>
      <w:r w:rsidR="004E663A" w:rsidRPr="006A6AAA">
        <w:t xml:space="preserve"> года численность населения трудоспособного возраста составляла </w:t>
      </w:r>
      <w:r w:rsidR="004E663A">
        <w:t>601</w:t>
      </w:r>
      <w:r w:rsidR="004E663A" w:rsidRPr="006A6AAA">
        <w:t xml:space="preserve"> человек (по итогам 201</w:t>
      </w:r>
      <w:r w:rsidR="004E663A">
        <w:t>7</w:t>
      </w:r>
      <w:r w:rsidR="004E663A" w:rsidRPr="006A6AAA">
        <w:t xml:space="preserve"> года – 5</w:t>
      </w:r>
      <w:r w:rsidR="004E663A">
        <w:t>53</w:t>
      </w:r>
      <w:r w:rsidR="004E663A" w:rsidRPr="006A6AAA">
        <w:t xml:space="preserve"> человека</w:t>
      </w:r>
      <w:r w:rsidR="004E663A">
        <w:t xml:space="preserve">, </w:t>
      </w:r>
      <w:r w:rsidR="004E663A" w:rsidRPr="00CD0526">
        <w:t xml:space="preserve">т.о. рост численности трудоспособного населения составил 8,7%). </w:t>
      </w:r>
      <w:proofErr w:type="gramStart"/>
      <w:r w:rsidR="004E663A" w:rsidRPr="00CD0526">
        <w:t>Зная, что за</w:t>
      </w:r>
      <w:r w:rsidR="004E663A">
        <w:t xml:space="preserve"> прошедший год в учреждениях, ведущих деятельность на территории населенных пунктов СП Нялинское, не было сокращений работников, среднесписочная численность работников сократилась на 23 человека, а также имеется рост численности занятых вне сельского поселения, то можно сделать вывод, что в учреждениях имеется кадровый дефицит, который является предпосылкой трудовой миграции экономически активного населения на территорию сельского поселения Нялинское.</w:t>
      </w:r>
      <w:proofErr w:type="gramEnd"/>
      <w:r w:rsidR="004E663A">
        <w:t xml:space="preserve"> </w:t>
      </w:r>
      <w:r w:rsidR="004E663A">
        <w:lastRenderedPageBreak/>
        <w:t>Аналогичная ситуация с занятостью на территории сельского поселения наблюдалась и в прошлом году. Т.о. можно сделать вывод, что часть работников занято в учреждениях и организациях сельского поселени</w:t>
      </w:r>
      <w:r w:rsidR="00E80336">
        <w:t>я по совместительству либо</w:t>
      </w:r>
      <w:r w:rsidR="004E663A">
        <w:t xml:space="preserve"> совмещению.</w:t>
      </w:r>
    </w:p>
    <w:p w:rsidR="0023631B" w:rsidRPr="00913CB5" w:rsidRDefault="002B3F4F" w:rsidP="0023631B">
      <w:pPr>
        <w:ind w:firstLine="855"/>
        <w:jc w:val="both"/>
      </w:pPr>
      <w:r w:rsidRPr="00913CB5">
        <w:t xml:space="preserve">С учетом ожидаемого изменения численности населения </w:t>
      </w:r>
      <w:r w:rsidRPr="00913CB5">
        <w:rPr>
          <w:b/>
        </w:rPr>
        <w:t>ч</w:t>
      </w:r>
      <w:r w:rsidRPr="00913CB5">
        <w:rPr>
          <w:b/>
          <w:bCs/>
        </w:rPr>
        <w:t xml:space="preserve">исленность экономически активного населения </w:t>
      </w:r>
      <w:r w:rsidRPr="00913CB5">
        <w:rPr>
          <w:bCs/>
        </w:rPr>
        <w:t>по итогам 201</w:t>
      </w:r>
      <w:r w:rsidR="00EB6018">
        <w:rPr>
          <w:bCs/>
        </w:rPr>
        <w:t>9</w:t>
      </w:r>
      <w:r w:rsidRPr="00913CB5">
        <w:rPr>
          <w:bCs/>
        </w:rPr>
        <w:t xml:space="preserve"> года предположительно</w:t>
      </w:r>
      <w:r w:rsidR="00913CB5" w:rsidRPr="00913CB5">
        <w:rPr>
          <w:bCs/>
        </w:rPr>
        <w:t xml:space="preserve"> </w:t>
      </w:r>
      <w:r w:rsidR="005957AF">
        <w:rPr>
          <w:bCs/>
        </w:rPr>
        <w:t>вырастет относительно итога 2018 года</w:t>
      </w:r>
      <w:r w:rsidR="00913CB5" w:rsidRPr="00913CB5">
        <w:rPr>
          <w:bCs/>
        </w:rPr>
        <w:t xml:space="preserve"> и составит</w:t>
      </w:r>
      <w:r w:rsidRPr="00913CB5">
        <w:rPr>
          <w:bCs/>
        </w:rPr>
        <w:t xml:space="preserve"> </w:t>
      </w:r>
      <w:r w:rsidRPr="00913CB5">
        <w:rPr>
          <w:b/>
          <w:bCs/>
        </w:rPr>
        <w:t>4</w:t>
      </w:r>
      <w:r w:rsidR="005957AF">
        <w:rPr>
          <w:b/>
          <w:bCs/>
        </w:rPr>
        <w:t>6</w:t>
      </w:r>
      <w:r w:rsidR="003E376C">
        <w:rPr>
          <w:b/>
          <w:bCs/>
        </w:rPr>
        <w:t>0</w:t>
      </w:r>
      <w:r w:rsidR="000E3EBF" w:rsidRPr="00913CB5">
        <w:rPr>
          <w:b/>
          <w:bCs/>
        </w:rPr>
        <w:t xml:space="preserve"> </w:t>
      </w:r>
      <w:r w:rsidRPr="00913CB5">
        <w:rPr>
          <w:b/>
          <w:bCs/>
        </w:rPr>
        <w:t>человек</w:t>
      </w:r>
      <w:r w:rsidRPr="00913CB5">
        <w:rPr>
          <w:bCs/>
        </w:rPr>
        <w:t>.</w:t>
      </w:r>
    </w:p>
    <w:p w:rsidR="0023631B" w:rsidRPr="00491AC2" w:rsidRDefault="001D7C27" w:rsidP="0023631B">
      <w:pPr>
        <w:ind w:firstLine="855"/>
        <w:jc w:val="both"/>
      </w:pPr>
      <w:proofErr w:type="gramStart"/>
      <w:r w:rsidRPr="00491AC2">
        <w:rPr>
          <w:bCs/>
        </w:rPr>
        <w:t xml:space="preserve">Соответственно, </w:t>
      </w:r>
      <w:r w:rsidR="0070471B">
        <w:rPr>
          <w:b/>
          <w:bCs/>
        </w:rPr>
        <w:t>ожидаем, что</w:t>
      </w:r>
      <w:r w:rsidR="002B3F4F" w:rsidRPr="00491AC2">
        <w:rPr>
          <w:b/>
          <w:bCs/>
        </w:rPr>
        <w:t xml:space="preserve"> с</w:t>
      </w:r>
      <w:r w:rsidR="0023631B" w:rsidRPr="00491AC2">
        <w:rPr>
          <w:b/>
          <w:bCs/>
        </w:rPr>
        <w:t>реднесписочная численность работающих</w:t>
      </w:r>
      <w:r w:rsidR="0023631B" w:rsidRPr="00491AC2">
        <w:t xml:space="preserve"> </w:t>
      </w:r>
      <w:r w:rsidR="00525765" w:rsidRPr="00491AC2">
        <w:t>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</w:t>
      </w:r>
      <w:r w:rsidR="001A0D2D" w:rsidRPr="00491AC2">
        <w:t>, учитывая ожидания по численности экономически активного населения и численность работающих вне сельского поселения,</w:t>
      </w:r>
      <w:r w:rsidR="00525765" w:rsidRPr="00491AC2">
        <w:t xml:space="preserve"> </w:t>
      </w:r>
      <w:r w:rsidR="0070471B">
        <w:t xml:space="preserve">до конца 2019 года не измениться и </w:t>
      </w:r>
      <w:r w:rsidR="00525765" w:rsidRPr="00491AC2">
        <w:t xml:space="preserve">составит </w:t>
      </w:r>
      <w:r w:rsidR="00891665">
        <w:rPr>
          <w:b/>
        </w:rPr>
        <w:t>221</w:t>
      </w:r>
      <w:r w:rsidR="00891665" w:rsidRPr="000B12F2">
        <w:t xml:space="preserve"> человек без</w:t>
      </w:r>
      <w:r w:rsidR="00891665">
        <w:t xml:space="preserve"> учета</w:t>
      </w:r>
      <w:r w:rsidR="00891665" w:rsidRPr="000B12F2">
        <w:t xml:space="preserve"> внешних совместителей, что ниже показателя предыдущего года на </w:t>
      </w:r>
      <w:r w:rsidR="0070471B">
        <w:t>13,3</w:t>
      </w:r>
      <w:r w:rsidR="00891665" w:rsidRPr="000B12F2">
        <w:t>%.</w:t>
      </w:r>
      <w:r w:rsidR="00525765" w:rsidRPr="00491AC2">
        <w:t xml:space="preserve"> </w:t>
      </w:r>
      <w:proofErr w:type="gramEnd"/>
    </w:p>
    <w:p w:rsidR="0023631B" w:rsidRPr="00282FEB" w:rsidRDefault="00022D33" w:rsidP="0023631B">
      <w:pPr>
        <w:ind w:firstLine="855"/>
        <w:jc w:val="both"/>
      </w:pPr>
      <w:r w:rsidRPr="00AF39B5">
        <w:rPr>
          <w:b/>
          <w:bCs/>
        </w:rPr>
        <w:t>Численность официально зарегистрированных безработных</w:t>
      </w:r>
      <w:r w:rsidRPr="00AF39B5">
        <w:t xml:space="preserve"> на 01.10.201</w:t>
      </w:r>
      <w:r>
        <w:t>9</w:t>
      </w:r>
      <w:r w:rsidRPr="00AF39B5">
        <w:t xml:space="preserve">г. года составляет </w:t>
      </w:r>
      <w:r>
        <w:t>4</w:t>
      </w:r>
      <w:r w:rsidRPr="00AF39B5">
        <w:t xml:space="preserve"> человек</w:t>
      </w:r>
      <w:r>
        <w:t>а</w:t>
      </w:r>
      <w:r w:rsidRPr="00AF39B5">
        <w:t xml:space="preserve"> (на 01.10.201</w:t>
      </w:r>
      <w:r>
        <w:t>8</w:t>
      </w:r>
      <w:r w:rsidRPr="00AF39B5">
        <w:t>г. на учете в Центре занятости населения состояло 5 человек).</w:t>
      </w:r>
      <w:r>
        <w:t xml:space="preserve"> </w:t>
      </w:r>
      <w:r w:rsidRPr="005B6570">
        <w:t>За истекший период 201</w:t>
      </w:r>
      <w:r>
        <w:t>9</w:t>
      </w:r>
      <w:r w:rsidRPr="005B6570">
        <w:t xml:space="preserve"> года на временные работы (программы ЦЗ) через МАУ ХМР ОМЦ </w:t>
      </w:r>
      <w:r>
        <w:t>не был привлечен ни один человек.</w:t>
      </w:r>
      <w:r w:rsidR="001A0506">
        <w:t xml:space="preserve"> Ожидается, что в 4 квартале 2019 года по программам центра занятости населения будет привлечено к временным работам 3 человека.</w:t>
      </w:r>
      <w:r w:rsidR="00093BB5" w:rsidRPr="00282FEB">
        <w:t xml:space="preserve"> </w:t>
      </w:r>
      <w:proofErr w:type="gramStart"/>
      <w:r w:rsidR="00282FEB" w:rsidRPr="00282FEB">
        <w:t>Предпосылок, для изменения численности безработных на текущий момент нет, поэтому ожидаем</w:t>
      </w:r>
      <w:r w:rsidR="002B3F4F" w:rsidRPr="00282FEB">
        <w:t xml:space="preserve">, что </w:t>
      </w:r>
      <w:r w:rsidR="002B3F4F" w:rsidRPr="00282FEB">
        <w:rPr>
          <w:b/>
        </w:rPr>
        <w:t>на конец 201</w:t>
      </w:r>
      <w:r w:rsidR="00E41152">
        <w:rPr>
          <w:b/>
        </w:rPr>
        <w:t>9</w:t>
      </w:r>
      <w:r w:rsidR="002B3F4F" w:rsidRPr="00282FEB">
        <w:rPr>
          <w:b/>
        </w:rPr>
        <w:t xml:space="preserve"> года численность официально зарегистрированных безработных</w:t>
      </w:r>
      <w:r w:rsidR="00282FEB" w:rsidRPr="00282FEB">
        <w:rPr>
          <w:b/>
        </w:rPr>
        <w:t xml:space="preserve"> </w:t>
      </w:r>
      <w:r w:rsidR="00282FEB" w:rsidRPr="00282FEB">
        <w:t>также</w:t>
      </w:r>
      <w:r w:rsidR="002B3F4F" w:rsidRPr="00282FEB">
        <w:t xml:space="preserve"> составит</w:t>
      </w:r>
      <w:r w:rsidR="002B3F4F" w:rsidRPr="00282FEB">
        <w:rPr>
          <w:b/>
        </w:rPr>
        <w:t xml:space="preserve"> </w:t>
      </w:r>
      <w:r w:rsidR="00266572">
        <w:rPr>
          <w:b/>
        </w:rPr>
        <w:t>4</w:t>
      </w:r>
      <w:r w:rsidR="002B3F4F" w:rsidRPr="00282FEB">
        <w:rPr>
          <w:b/>
        </w:rPr>
        <w:t xml:space="preserve"> человек</w:t>
      </w:r>
      <w:r w:rsidR="00266572">
        <w:rPr>
          <w:b/>
        </w:rPr>
        <w:t>а</w:t>
      </w:r>
      <w:r w:rsidR="009D247C">
        <w:rPr>
          <w:b/>
        </w:rPr>
        <w:t xml:space="preserve">, </w:t>
      </w:r>
      <w:r w:rsidR="009D247C" w:rsidRPr="009D247C">
        <w:t>что в два раза выше численности официально зарегистрированных безработных на 01.01.2019г.</w:t>
      </w:r>
      <w:r w:rsidR="009D247C">
        <w:t xml:space="preserve"> </w:t>
      </w:r>
      <w:r w:rsidR="00DC4EA4">
        <w:t>Снижение численности безработных за 4 квартал 2018 года с 5 человек до 2 человек объясняется затрудненной транспортной доступностью населенных пунктов сельского поселения в периоды</w:t>
      </w:r>
      <w:proofErr w:type="gramEnd"/>
      <w:r w:rsidR="00DC4EA4">
        <w:t xml:space="preserve"> распутицы, когда безработные не успевают встать на учет в ЦЗ по окончании временных работ.</w:t>
      </w:r>
    </w:p>
    <w:p w:rsidR="0023631B" w:rsidRPr="00282FEB" w:rsidRDefault="0023631B" w:rsidP="0023631B">
      <w:pPr>
        <w:ind w:firstLine="855"/>
        <w:jc w:val="both"/>
      </w:pPr>
      <w:r w:rsidRPr="00282FEB">
        <w:rPr>
          <w:b/>
          <w:bCs/>
        </w:rPr>
        <w:t>Производство сельскохозяйственной продукции</w:t>
      </w:r>
      <w:r w:rsidRPr="00282FEB">
        <w:t xml:space="preserve"> (без учета населения). 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23631B" w:rsidRPr="00124FF6" w:rsidRDefault="00E6195C" w:rsidP="0023631B">
      <w:pPr>
        <w:ind w:firstLine="855"/>
        <w:jc w:val="both"/>
      </w:pPr>
      <w:r w:rsidRPr="00746AEB">
        <w:rPr>
          <w:b/>
          <w:bCs/>
        </w:rPr>
        <w:t>Д</w:t>
      </w:r>
      <w:r w:rsidR="0023631B" w:rsidRPr="00746AEB">
        <w:rPr>
          <w:b/>
          <w:bCs/>
        </w:rPr>
        <w:t>оходы бюджета МО</w:t>
      </w:r>
      <w:r w:rsidR="0023631B" w:rsidRPr="00746AEB">
        <w:t xml:space="preserve"> (налоговые и неналоговые доходы) за 201</w:t>
      </w:r>
      <w:r w:rsidR="00A153EA">
        <w:t>9</w:t>
      </w:r>
      <w:r w:rsidR="0023631B" w:rsidRPr="00746AEB">
        <w:t xml:space="preserve"> год </w:t>
      </w:r>
      <w:r w:rsidRPr="00746AEB">
        <w:t>ожидаются в сумме</w:t>
      </w:r>
      <w:r w:rsidR="0023631B" w:rsidRPr="00746AEB">
        <w:t xml:space="preserve"> </w:t>
      </w:r>
      <w:r w:rsidR="00A153EA">
        <w:t>28 355,9</w:t>
      </w:r>
      <w:r w:rsidR="0023631B" w:rsidRPr="00746AEB">
        <w:t xml:space="preserve"> тыс</w:t>
      </w:r>
      <w:proofErr w:type="gramStart"/>
      <w:r w:rsidR="0023631B" w:rsidRPr="00746AEB">
        <w:t>.р</w:t>
      </w:r>
      <w:proofErr w:type="gramEnd"/>
      <w:r w:rsidR="0023631B" w:rsidRPr="00746AEB">
        <w:t xml:space="preserve">уб., что </w:t>
      </w:r>
      <w:r w:rsidR="00A153EA">
        <w:t>выш</w:t>
      </w:r>
      <w:r w:rsidR="00746AEB" w:rsidRPr="00746AEB">
        <w:t>е</w:t>
      </w:r>
      <w:r w:rsidR="0023631B" w:rsidRPr="00746AEB">
        <w:t xml:space="preserve"> доходов за 201</w:t>
      </w:r>
      <w:r w:rsidR="00A153EA">
        <w:t>8</w:t>
      </w:r>
      <w:r w:rsidR="00746AEB" w:rsidRPr="00746AEB">
        <w:t>год</w:t>
      </w:r>
      <w:r w:rsidR="0023631B" w:rsidRPr="00746AEB">
        <w:t xml:space="preserve"> на </w:t>
      </w:r>
      <w:r w:rsidR="007B3E1D">
        <w:t>5,5</w:t>
      </w:r>
      <w:r w:rsidR="0023631B" w:rsidRPr="00746AEB">
        <w:t xml:space="preserve"> %. </w:t>
      </w:r>
      <w:r w:rsidR="007B3E1D">
        <w:t>Увеличение</w:t>
      </w:r>
      <w:r w:rsidR="00F14F54" w:rsidRPr="00746AEB">
        <w:t xml:space="preserve"> доходов связано с </w:t>
      </w:r>
      <w:r w:rsidR="00746AEB" w:rsidRPr="00746AEB">
        <w:t>большим объемом</w:t>
      </w:r>
      <w:r w:rsidR="00F14F54" w:rsidRPr="00746AEB">
        <w:t xml:space="preserve"> поступлений денежных средств</w:t>
      </w:r>
      <w:r w:rsidR="00746AEB" w:rsidRPr="00746AEB">
        <w:t xml:space="preserve"> в 201</w:t>
      </w:r>
      <w:r w:rsidR="000C390F">
        <w:t>9</w:t>
      </w:r>
      <w:r w:rsidR="00746AEB" w:rsidRPr="00746AEB">
        <w:t xml:space="preserve"> году</w:t>
      </w:r>
      <w:r w:rsidR="00F14F54" w:rsidRPr="00746AEB">
        <w:t>, имеющих целевое назначение</w:t>
      </w:r>
      <w:r w:rsidR="007B3E1D">
        <w:t>, и ростом собственных доходов бюджета</w:t>
      </w:r>
      <w:r w:rsidR="00F14F54" w:rsidRPr="00746AEB">
        <w:t xml:space="preserve">. </w:t>
      </w:r>
    </w:p>
    <w:p w:rsidR="0023631B" w:rsidRPr="005A215C" w:rsidRDefault="00E6195C" w:rsidP="0023631B">
      <w:pPr>
        <w:ind w:firstLine="855"/>
        <w:jc w:val="both"/>
      </w:pPr>
      <w:r w:rsidRPr="005A215C">
        <w:rPr>
          <w:b/>
          <w:bCs/>
        </w:rPr>
        <w:t>Р</w:t>
      </w:r>
      <w:r w:rsidR="0023631B" w:rsidRPr="005A215C">
        <w:rPr>
          <w:b/>
          <w:bCs/>
        </w:rPr>
        <w:t>асходы бюджета МО</w:t>
      </w:r>
      <w:r w:rsidR="0023631B" w:rsidRPr="005A215C">
        <w:t xml:space="preserve"> за </w:t>
      </w:r>
      <w:r w:rsidRPr="005A215C">
        <w:t>201</w:t>
      </w:r>
      <w:r w:rsidR="00CC0C22">
        <w:t>9</w:t>
      </w:r>
      <w:r w:rsidRPr="005A215C">
        <w:t xml:space="preserve"> год запланированы в сумме</w:t>
      </w:r>
      <w:r w:rsidR="0023631B" w:rsidRPr="005A215C">
        <w:t xml:space="preserve"> </w:t>
      </w:r>
      <w:r w:rsidR="00CC0C22">
        <w:t>30</w:t>
      </w:r>
      <w:r w:rsidR="000C390F">
        <w:t> </w:t>
      </w:r>
      <w:r w:rsidR="00CC0C22">
        <w:t>497,5</w:t>
      </w:r>
      <w:r w:rsidR="0023631B" w:rsidRPr="005A215C">
        <w:t xml:space="preserve"> тыс</w:t>
      </w:r>
      <w:proofErr w:type="gramStart"/>
      <w:r w:rsidR="00127359" w:rsidRPr="005A215C">
        <w:t>.р</w:t>
      </w:r>
      <w:proofErr w:type="gramEnd"/>
      <w:r w:rsidR="00127359" w:rsidRPr="005A215C">
        <w:t xml:space="preserve">уб., что </w:t>
      </w:r>
      <w:r w:rsidR="00CC0C22">
        <w:t>выше</w:t>
      </w:r>
      <w:r w:rsidR="00127359" w:rsidRPr="005A215C">
        <w:t xml:space="preserve"> расходов за 201</w:t>
      </w:r>
      <w:r w:rsidR="00CC0C22">
        <w:t>8</w:t>
      </w:r>
      <w:r w:rsidR="0023631B" w:rsidRPr="005A215C">
        <w:t xml:space="preserve"> год на </w:t>
      </w:r>
      <w:r w:rsidR="00CC0C22">
        <w:t>14,4%.</w:t>
      </w:r>
    </w:p>
    <w:p w:rsidR="0023631B" w:rsidRPr="005A215C" w:rsidRDefault="0023631B" w:rsidP="0023631B">
      <w:pPr>
        <w:ind w:firstLine="855"/>
        <w:jc w:val="both"/>
      </w:pPr>
      <w:r w:rsidRPr="005A215C">
        <w:t>В результате исполнение бюджета за 201</w:t>
      </w:r>
      <w:r w:rsidR="008125E6">
        <w:t>9</w:t>
      </w:r>
      <w:r w:rsidRPr="005A215C">
        <w:t xml:space="preserve"> год </w:t>
      </w:r>
      <w:r w:rsidR="005A215C" w:rsidRPr="005A215C">
        <w:t xml:space="preserve">ожидается </w:t>
      </w:r>
      <w:r w:rsidRPr="005A215C">
        <w:t xml:space="preserve">с </w:t>
      </w:r>
      <w:r w:rsidRPr="005A215C">
        <w:rPr>
          <w:b/>
          <w:bCs/>
        </w:rPr>
        <w:t xml:space="preserve">дефицитом </w:t>
      </w:r>
      <w:r w:rsidR="008125E6">
        <w:rPr>
          <w:b/>
          <w:bCs/>
        </w:rPr>
        <w:t>2 141,6</w:t>
      </w:r>
      <w:r w:rsidRPr="005A215C">
        <w:rPr>
          <w:b/>
          <w:bCs/>
        </w:rPr>
        <w:t xml:space="preserve"> тыс. руб.</w:t>
      </w:r>
      <w:r w:rsidRPr="005A215C">
        <w:t xml:space="preserve"> Финансирование дефицита бюджета планируется производить за счет п</w:t>
      </w:r>
      <w:r w:rsidR="001F192D">
        <w:t xml:space="preserve">ереходящего остатка прошлых лет и </w:t>
      </w:r>
      <w:r w:rsidR="00B87D14">
        <w:t>трансфертов на исполнение Указов Президента РФ на повышение заработной платы работникам сферы Культуры.</w:t>
      </w:r>
    </w:p>
    <w:p w:rsidR="0023631B" w:rsidRPr="006F5F3E" w:rsidRDefault="00D44D9C" w:rsidP="0023631B">
      <w:pPr>
        <w:ind w:firstLine="855"/>
        <w:jc w:val="both"/>
      </w:pPr>
      <w:r w:rsidRPr="000377F7">
        <w:rPr>
          <w:b/>
          <w:bCs/>
        </w:rPr>
        <w:t xml:space="preserve">Количество малых предприятий </w:t>
      </w:r>
      <w:r w:rsidRPr="000377F7">
        <w:t xml:space="preserve">(только зарегистрированные на территории СП) составляет </w:t>
      </w:r>
      <w:r>
        <w:t>2</w:t>
      </w:r>
      <w:r w:rsidRPr="000377F7">
        <w:t xml:space="preserve"> единицы, что меньше показателя 201</w:t>
      </w:r>
      <w:r>
        <w:t>8</w:t>
      </w:r>
      <w:r w:rsidRPr="000377F7">
        <w:t xml:space="preserve"> года (</w:t>
      </w:r>
      <w:r>
        <w:t xml:space="preserve">3 </w:t>
      </w:r>
      <w:r w:rsidRPr="000377F7">
        <w:t>единиц</w:t>
      </w:r>
      <w:r>
        <w:t>ы</w:t>
      </w:r>
      <w:r w:rsidRPr="000377F7">
        <w:t xml:space="preserve">). За прошедший год из общего числа малых предприятий, зарегистрированных на территории сельского поселения, остались фактически ведущие хозяйственную деятельность: </w:t>
      </w:r>
      <w:r>
        <w:t>по одной организации имеется Решение ИФНС о предстоящем исключении недействующего ЮЛ из ЕГРЮЛ от 25.09.2019г.</w:t>
      </w:r>
      <w:r w:rsidR="006F5F3E" w:rsidRPr="006F5F3E">
        <w:t xml:space="preserve"> </w:t>
      </w:r>
      <w:r w:rsidR="00720E42" w:rsidRPr="006F5F3E">
        <w:t xml:space="preserve">Ожидается, что количество малых предприятий </w:t>
      </w:r>
      <w:proofErr w:type="gramStart"/>
      <w:r w:rsidR="00720E42" w:rsidRPr="006F5F3E">
        <w:t>на конец</w:t>
      </w:r>
      <w:proofErr w:type="gramEnd"/>
      <w:r w:rsidR="00720E42" w:rsidRPr="006F5F3E">
        <w:t xml:space="preserve"> 201</w:t>
      </w:r>
      <w:r>
        <w:t>9</w:t>
      </w:r>
      <w:r w:rsidR="00720E42" w:rsidRPr="006F5F3E">
        <w:t xml:space="preserve"> года не изменится и составит также </w:t>
      </w:r>
      <w:r w:rsidR="006F5F3E" w:rsidRPr="006F5F3E">
        <w:rPr>
          <w:b/>
        </w:rPr>
        <w:t>2</w:t>
      </w:r>
      <w:r w:rsidR="00720E42" w:rsidRPr="006F5F3E">
        <w:rPr>
          <w:b/>
        </w:rPr>
        <w:t xml:space="preserve"> единиц</w:t>
      </w:r>
      <w:r w:rsidR="006F5F3E" w:rsidRPr="006F5F3E">
        <w:rPr>
          <w:b/>
        </w:rPr>
        <w:t>ы</w:t>
      </w:r>
      <w:r w:rsidR="00720E42" w:rsidRPr="006F5F3E">
        <w:t>.</w:t>
      </w:r>
    </w:p>
    <w:p w:rsidR="0023631B" w:rsidRPr="00166BF6" w:rsidRDefault="00A65C35" w:rsidP="00A65C35">
      <w:pPr>
        <w:ind w:firstLine="855"/>
        <w:jc w:val="both"/>
      </w:pPr>
      <w:r w:rsidRPr="00833383">
        <w:rPr>
          <w:b/>
          <w:bCs/>
        </w:rPr>
        <w:lastRenderedPageBreak/>
        <w:t>Количество индивидуальных предпринимателей</w:t>
      </w:r>
      <w:r w:rsidRPr="00833383">
        <w:t xml:space="preserve">, зарегистрированных на территории сельского поселения, </w:t>
      </w:r>
      <w:r>
        <w:t xml:space="preserve">на 01.10.2019г. </w:t>
      </w:r>
      <w:r w:rsidRPr="00833383">
        <w:t xml:space="preserve">составляет </w:t>
      </w:r>
      <w:r>
        <w:t>15</w:t>
      </w:r>
      <w:r w:rsidRPr="00833383">
        <w:t xml:space="preserve"> человек, что </w:t>
      </w:r>
      <w:r>
        <w:t>значительно</w:t>
      </w:r>
      <w:r w:rsidRPr="00833383">
        <w:t xml:space="preserve"> меньше показателя 201</w:t>
      </w:r>
      <w:r>
        <w:t>8</w:t>
      </w:r>
      <w:r w:rsidRPr="00833383">
        <w:t xml:space="preserve"> года (2</w:t>
      </w:r>
      <w:r>
        <w:t>4</w:t>
      </w:r>
      <w:r w:rsidRPr="00833383">
        <w:t xml:space="preserve"> человек</w:t>
      </w:r>
      <w:r>
        <w:t>а</w:t>
      </w:r>
      <w:r w:rsidRPr="00833383">
        <w:t xml:space="preserve">). При этом за год прекратили свою деятельность </w:t>
      </w:r>
      <w:r>
        <w:t>9</w:t>
      </w:r>
      <w:r w:rsidRPr="00833383">
        <w:t xml:space="preserve"> ИП. Из числа предпринимателей, зарегистрированных в населенных пунктах сельского поселения, </w:t>
      </w:r>
      <w:r>
        <w:t>7</w:t>
      </w:r>
      <w:r w:rsidRPr="00833383">
        <w:t xml:space="preserve"> ИП ведут свою деятельность за пределами территории сельского поселения либо фактически не работают. Также на территории сельского поселения ведут деятельность 4 ИП, зарегистрированные в иных муниципальных образованиях.</w:t>
      </w:r>
      <w:r>
        <w:t xml:space="preserve"> </w:t>
      </w:r>
      <w:r w:rsidR="00D614F8" w:rsidRPr="00166BF6">
        <w:t>Ожидаем</w:t>
      </w:r>
      <w:r w:rsidR="00A013DB" w:rsidRPr="00166BF6">
        <w:t>, что к концу 201</w:t>
      </w:r>
      <w:r>
        <w:t>9</w:t>
      </w:r>
      <w:r w:rsidR="00A013DB" w:rsidRPr="00166BF6">
        <w:t xml:space="preserve"> года количество индивидуаль</w:t>
      </w:r>
      <w:r w:rsidR="005B341B" w:rsidRPr="00166BF6">
        <w:t>ных предпринимателей не изменит</w:t>
      </w:r>
      <w:r w:rsidR="00A013DB" w:rsidRPr="00166BF6">
        <w:t xml:space="preserve">ся и составит также </w:t>
      </w:r>
      <w:r>
        <w:rPr>
          <w:b/>
        </w:rPr>
        <w:t>15</w:t>
      </w:r>
      <w:r w:rsidR="00A013DB" w:rsidRPr="00166BF6">
        <w:rPr>
          <w:b/>
        </w:rPr>
        <w:t xml:space="preserve"> человек</w:t>
      </w:r>
      <w:r w:rsidR="00A013DB" w:rsidRPr="00166BF6">
        <w:t>.</w:t>
      </w:r>
    </w:p>
    <w:p w:rsidR="0023631B" w:rsidRPr="008F0BB3" w:rsidRDefault="007C73AA" w:rsidP="0023631B">
      <w:pPr>
        <w:ind w:firstLine="855"/>
        <w:jc w:val="both"/>
      </w:pPr>
      <w:r w:rsidRPr="00833383">
        <w:rPr>
          <w:b/>
          <w:bCs/>
        </w:rPr>
        <w:t>Среднесписочная численность работников по малым предприятиям и малым предпринимателям</w:t>
      </w:r>
      <w:r w:rsidRPr="00833383">
        <w:t xml:space="preserve"> составляет на 01 октября 201</w:t>
      </w:r>
      <w:r>
        <w:t>9</w:t>
      </w:r>
      <w:r w:rsidRPr="00833383">
        <w:t xml:space="preserve"> года </w:t>
      </w:r>
      <w:r>
        <w:rPr>
          <w:b/>
        </w:rPr>
        <w:t>28</w:t>
      </w:r>
      <w:r w:rsidRPr="00833383">
        <w:t xml:space="preserve"> человек, что чуть меньше показателя 201</w:t>
      </w:r>
      <w:r>
        <w:t>8</w:t>
      </w:r>
      <w:r w:rsidRPr="00833383">
        <w:t xml:space="preserve"> года. </w:t>
      </w:r>
      <w:r w:rsidR="005A6D6C" w:rsidRPr="008F0BB3">
        <w:t xml:space="preserve">Учитывая, что часть </w:t>
      </w:r>
      <w:r w:rsidR="008F0BB3" w:rsidRPr="008F0BB3">
        <w:t>предпринимателей занимается сезонными видами деятельности, а также в связи с сокращением общего их числа,</w:t>
      </w:r>
      <w:r w:rsidR="00004B10" w:rsidRPr="008F0BB3">
        <w:t xml:space="preserve"> </w:t>
      </w:r>
      <w:r w:rsidR="008F0BB3" w:rsidRPr="008F0BB3">
        <w:t>ожидаем</w:t>
      </w:r>
      <w:r w:rsidR="00333D15" w:rsidRPr="008F0BB3">
        <w:t>, что к концу 201</w:t>
      </w:r>
      <w:r>
        <w:t>9</w:t>
      </w:r>
      <w:r w:rsidR="00333D15" w:rsidRPr="008F0BB3">
        <w:t xml:space="preserve"> года численность работников по малым предприятиям и малым предпринимателям </w:t>
      </w:r>
      <w:r w:rsidR="008F0BB3" w:rsidRPr="008F0BB3">
        <w:t>не превысит 28 человек</w:t>
      </w:r>
      <w:r w:rsidR="00333D15" w:rsidRPr="008F0BB3">
        <w:t>.</w:t>
      </w:r>
    </w:p>
    <w:p w:rsidR="0096354B" w:rsidRDefault="0096354B" w:rsidP="00E97665">
      <w:pPr>
        <w:ind w:firstLine="851"/>
        <w:jc w:val="both"/>
        <w:rPr>
          <w:b/>
        </w:rPr>
      </w:pPr>
    </w:p>
    <w:p w:rsidR="00E97665" w:rsidRPr="008F0BB3" w:rsidRDefault="00E97665" w:rsidP="00E97665">
      <w:pPr>
        <w:ind w:firstLine="851"/>
        <w:jc w:val="both"/>
        <w:rPr>
          <w:b/>
        </w:rPr>
      </w:pPr>
      <w:r w:rsidRPr="008F0BB3">
        <w:rPr>
          <w:b/>
        </w:rPr>
        <w:t>Актуальные (проблемные) вопросы муниципального образования сельское поселение Нялинское</w:t>
      </w:r>
    </w:p>
    <w:p w:rsidR="003E7FC2" w:rsidRPr="001C33C2" w:rsidRDefault="003E7FC2" w:rsidP="003E7FC2">
      <w:pPr>
        <w:pStyle w:val="a7"/>
        <w:numPr>
          <w:ilvl w:val="0"/>
          <w:numId w:val="3"/>
        </w:numPr>
        <w:ind w:left="0" w:firstLine="0"/>
        <w:jc w:val="both"/>
      </w:pPr>
      <w:r w:rsidRPr="001C33C2">
        <w:t xml:space="preserve">Отсутствие централизованного газоснабжения. </w:t>
      </w:r>
    </w:p>
    <w:p w:rsidR="003E7FC2" w:rsidRPr="001C33C2" w:rsidRDefault="003E7FC2" w:rsidP="003E7FC2">
      <w:pPr>
        <w:jc w:val="both"/>
      </w:pPr>
      <w:r w:rsidRPr="001C33C2">
        <w:t>3.</w:t>
      </w:r>
      <w:r w:rsidRPr="001C33C2">
        <w:tab/>
        <w:t xml:space="preserve">Высокие тарифы на </w:t>
      </w:r>
      <w:proofErr w:type="spellStart"/>
      <w:r w:rsidRPr="001C33C2">
        <w:t>теплоэнергию</w:t>
      </w:r>
      <w:proofErr w:type="spellEnd"/>
      <w:r w:rsidRPr="001C33C2">
        <w:t xml:space="preserve"> (централизованное теплоснабжение).</w:t>
      </w:r>
    </w:p>
    <w:p w:rsidR="003E7FC2" w:rsidRPr="00704969" w:rsidRDefault="003E7FC2" w:rsidP="003E7FC2">
      <w:pPr>
        <w:jc w:val="both"/>
      </w:pPr>
      <w:r w:rsidRPr="001C33C2">
        <w:t>3.</w:t>
      </w:r>
      <w:r w:rsidRPr="001C33C2">
        <w:tab/>
        <w:t>Очередь на получение жилья по социальному найму и возросшая потребность в служебном жилье. Эта проблема в последние годы встала весьма остро, так как значительная часть муниципального жилья ветхое, подлежащее сносу или капитальному ремонту</w:t>
      </w:r>
      <w:r w:rsidRPr="00704969">
        <w:t xml:space="preserve">. Текущая работа (строительство и ремонт жилья) не ведется в необходимом объеме и не обеспечивает существующей потребности. </w:t>
      </w:r>
    </w:p>
    <w:p w:rsidR="003E7FC2" w:rsidRPr="001C33C2" w:rsidRDefault="003E7FC2" w:rsidP="003E7FC2">
      <w:pPr>
        <w:jc w:val="both"/>
      </w:pPr>
      <w:r w:rsidRPr="001C33C2">
        <w:t>4.</w:t>
      </w:r>
      <w:r w:rsidRPr="001C33C2">
        <w:tab/>
        <w:t>Необходимость улучшения состояния дорог сельского поселения.</w:t>
      </w:r>
    </w:p>
    <w:p w:rsidR="003E7FC2" w:rsidRPr="006A3B76" w:rsidRDefault="003E7FC2" w:rsidP="003E7FC2">
      <w:pPr>
        <w:jc w:val="both"/>
      </w:pPr>
      <w:r w:rsidRPr="006A3B76">
        <w:t>5.</w:t>
      </w:r>
      <w:r w:rsidRPr="006A3B76">
        <w:tab/>
        <w:t xml:space="preserve">Отсутствует постоянное и надежное транспортное сообщение. </w:t>
      </w:r>
      <w:proofErr w:type="spellStart"/>
      <w:r w:rsidRPr="006A3B76">
        <w:t>Пассажироперевозки</w:t>
      </w:r>
      <w:proofErr w:type="spellEnd"/>
      <w:r w:rsidRPr="006A3B76">
        <w:t xml:space="preserve">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</w:t>
      </w:r>
      <w:proofErr w:type="spellStart"/>
      <w:r w:rsidRPr="006A3B76">
        <w:t>прод</w:t>
      </w:r>
      <w:proofErr w:type="spellEnd"/>
      <w:r w:rsidRPr="006A3B76">
        <w:t xml:space="preserve">- и промтовары, </w:t>
      </w:r>
      <w:proofErr w:type="spellStart"/>
      <w:r w:rsidRPr="006A3B76">
        <w:t>стройтовары</w:t>
      </w:r>
      <w:proofErr w:type="spellEnd"/>
      <w:r w:rsidRPr="006A3B76">
        <w:t>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3E7FC2" w:rsidRPr="00D42BDC" w:rsidRDefault="003E7FC2" w:rsidP="003E7FC2">
      <w:pPr>
        <w:jc w:val="both"/>
      </w:pPr>
      <w:r w:rsidRPr="00D42BDC">
        <w:t>6.</w:t>
      </w:r>
      <w:r w:rsidRPr="00D42BDC">
        <w:tab/>
        <w:t>Нехватка кадров, в том числе имеющих квалификации в сферах образования и медицины. В связи с началом работы Кадетской школы-интернат увеличилась потребность в получении медицинских услуг в области педиатрии и стоматологии.</w:t>
      </w:r>
    </w:p>
    <w:p w:rsidR="003E7FC2" w:rsidRPr="001708B0" w:rsidRDefault="003E7FC2" w:rsidP="003E7FC2">
      <w:pPr>
        <w:ind w:firstLine="851"/>
        <w:jc w:val="both"/>
        <w:rPr>
          <w:b/>
        </w:rPr>
      </w:pPr>
      <w:r w:rsidRPr="001708B0">
        <w:rPr>
          <w:b/>
        </w:rPr>
        <w:t>Результаты социально-экономического развития муниципального образования сельское поселение Нялинское.</w:t>
      </w:r>
    </w:p>
    <w:p w:rsidR="003E7FC2" w:rsidRPr="001708B0" w:rsidRDefault="003E7FC2" w:rsidP="003E7FC2">
      <w:pPr>
        <w:ind w:firstLine="851"/>
        <w:jc w:val="both"/>
      </w:pPr>
      <w:r w:rsidRPr="001708B0">
        <w:t>В 201</w:t>
      </w:r>
      <w:r>
        <w:t>9</w:t>
      </w:r>
      <w:r w:rsidRPr="001708B0">
        <w:t xml:space="preserve"> году проблема транспортной доступности населенных пунктов решалась следующим образом: автозимник до г. Ханты-Мансийска обслуживался ОАО «</w:t>
      </w:r>
      <w:proofErr w:type="spellStart"/>
      <w:r w:rsidRPr="001708B0">
        <w:t>Северавтодор</w:t>
      </w:r>
      <w:proofErr w:type="gramStart"/>
      <w:r w:rsidRPr="001708B0">
        <w:t>»и</w:t>
      </w:r>
      <w:proofErr w:type="spellEnd"/>
      <w:proofErr w:type="gramEnd"/>
      <w:r w:rsidRPr="001708B0">
        <w:t xml:space="preserve"> содержался весь сезон на «отлично»; действовали пассажирские рейсы микроавтобусов и </w:t>
      </w:r>
      <w:proofErr w:type="spellStart"/>
      <w:r w:rsidRPr="001708B0">
        <w:t>вахтовок</w:t>
      </w:r>
      <w:proofErr w:type="spellEnd"/>
      <w:r w:rsidRPr="001708B0">
        <w:t xml:space="preserve"> в г. Ханты-Мансийск</w:t>
      </w:r>
      <w:r>
        <w:t xml:space="preserve"> (имелись перебои в рейсах микроавтобусов</w:t>
      </w:r>
      <w:r w:rsidRPr="001708B0">
        <w:t xml:space="preserve">); </w:t>
      </w:r>
      <w:proofErr w:type="gramStart"/>
      <w:r w:rsidRPr="001708B0">
        <w:t xml:space="preserve">на период распутицы выполняются по два рейса вертолета в с. Нялинское (маршрут Ханты-Мансийск – </w:t>
      </w:r>
      <w:proofErr w:type="spellStart"/>
      <w:r w:rsidRPr="001708B0">
        <w:t>Зенково</w:t>
      </w:r>
      <w:proofErr w:type="spellEnd"/>
      <w:r w:rsidRPr="001708B0">
        <w:t xml:space="preserve"> – </w:t>
      </w:r>
      <w:proofErr w:type="spellStart"/>
      <w:r w:rsidRPr="001708B0">
        <w:t>Селиярово</w:t>
      </w:r>
      <w:proofErr w:type="spellEnd"/>
      <w:r w:rsidRPr="001708B0">
        <w:t xml:space="preserve"> – Нялино – Ханты-Мансийск) и в п. Пырьях (маршрут Ханты-Мансийск – Пырьях – </w:t>
      </w:r>
      <w:proofErr w:type="spellStart"/>
      <w:r w:rsidRPr="001708B0">
        <w:t>Кышик</w:t>
      </w:r>
      <w:proofErr w:type="spellEnd"/>
      <w:r w:rsidRPr="001708B0">
        <w:t xml:space="preserve"> – Ханты-Мансийск); </w:t>
      </w:r>
      <w:proofErr w:type="spellStart"/>
      <w:r w:rsidRPr="001708B0">
        <w:t>пассажироперевозки</w:t>
      </w:r>
      <w:proofErr w:type="spellEnd"/>
      <w:r w:rsidRPr="001708B0">
        <w:t xml:space="preserve"> в п. Пырьях в навигационный период и часть межнавигационного периода осуществляются судном на воздушной подушке, в с. Нялинское в навигационный период – теплоходом «Линда».</w:t>
      </w:r>
      <w:proofErr w:type="gramEnd"/>
      <w:r w:rsidRPr="001708B0">
        <w:t xml:space="preserve">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:rsidR="003E7FC2" w:rsidRPr="001708B0" w:rsidRDefault="003E7FC2" w:rsidP="003E7FC2">
      <w:pPr>
        <w:ind w:firstLine="851"/>
        <w:jc w:val="both"/>
      </w:pPr>
      <w:r w:rsidRPr="001708B0">
        <w:lastRenderedPageBreak/>
        <w:t>МП «ЖЭК-3» и ОАО «</w:t>
      </w:r>
      <w:proofErr w:type="spellStart"/>
      <w:r w:rsidRPr="001708B0">
        <w:t>Северавтодор</w:t>
      </w:r>
      <w:proofErr w:type="spellEnd"/>
      <w:r w:rsidRPr="001708B0">
        <w:t xml:space="preserve">» осуществляли обслуживание </w:t>
      </w:r>
      <w:proofErr w:type="spellStart"/>
      <w:r w:rsidRPr="001708B0">
        <w:t>внутрипоселковых</w:t>
      </w:r>
      <w:proofErr w:type="spellEnd"/>
      <w:r w:rsidRPr="001708B0">
        <w:t xml:space="preserve"> дорог на основании заявок Администрации сельского поселения. Также осуществлялась расчистка и ремонт подъездных путей к вертолетным площадкам и к пожарным водоемам. При подготовке к весеннему снеготаянию прочищены канавы и </w:t>
      </w:r>
      <w:proofErr w:type="spellStart"/>
      <w:r w:rsidRPr="001708B0">
        <w:t>водопропуски</w:t>
      </w:r>
      <w:proofErr w:type="spellEnd"/>
      <w:r w:rsidRPr="001708B0">
        <w:t xml:space="preserve"> </w:t>
      </w:r>
      <w:proofErr w:type="gramStart"/>
      <w:r w:rsidRPr="001708B0">
        <w:t>в</w:t>
      </w:r>
      <w:proofErr w:type="gramEnd"/>
      <w:r w:rsidRPr="001708B0">
        <w:t xml:space="preserve"> с. Нялинское.</w:t>
      </w:r>
    </w:p>
    <w:p w:rsidR="003E7FC2" w:rsidRPr="001708B0" w:rsidRDefault="003E7FC2" w:rsidP="003E7FC2">
      <w:pPr>
        <w:ind w:firstLine="851"/>
        <w:jc w:val="both"/>
      </w:pPr>
      <w:r w:rsidRPr="001708B0">
        <w:t>АСП Нялинское осуществляла содержание вертолетной площадки на основании переданного полномочия Ханты-Мансийского района.</w:t>
      </w:r>
    </w:p>
    <w:p w:rsidR="003E7FC2" w:rsidRPr="001708B0" w:rsidRDefault="003E7FC2" w:rsidP="003E7FC2">
      <w:pPr>
        <w:ind w:firstLine="851"/>
        <w:jc w:val="both"/>
      </w:pPr>
      <w:r w:rsidRPr="001708B0">
        <w:t xml:space="preserve">В рамках противопожарных мероприятий проведена опашка противопожарной полосы </w:t>
      </w:r>
      <w:proofErr w:type="gramStart"/>
      <w:r w:rsidRPr="001708B0">
        <w:t>в</w:t>
      </w:r>
      <w:proofErr w:type="gramEnd"/>
      <w:r w:rsidRPr="001708B0">
        <w:t xml:space="preserve"> с. Нялинское.</w:t>
      </w:r>
    </w:p>
    <w:p w:rsidR="003E7FC2" w:rsidRPr="001708B0" w:rsidRDefault="003E7FC2" w:rsidP="003E7FC2">
      <w:pPr>
        <w:ind w:firstLine="851"/>
        <w:jc w:val="both"/>
      </w:pPr>
      <w:r w:rsidRPr="001708B0">
        <w:t>С целью энергосбережения и повышения энергетической эффективности потребляемых ресурсов проведена частичная замена осветительного оборудования уличного освещения с. Нялинское</w:t>
      </w:r>
      <w:r>
        <w:t>, установлены фотореле для автоматической регулировки освещения.</w:t>
      </w:r>
    </w:p>
    <w:p w:rsidR="008A3779" w:rsidRPr="00A66A43" w:rsidRDefault="008A3779" w:rsidP="0023631B">
      <w:pPr>
        <w:jc w:val="both"/>
      </w:pPr>
    </w:p>
    <w:p w:rsidR="0023631B" w:rsidRPr="00A66A43" w:rsidRDefault="0023631B" w:rsidP="0023631B">
      <w:pPr>
        <w:jc w:val="both"/>
      </w:pPr>
      <w:r w:rsidRPr="00A66A43">
        <w:t xml:space="preserve">Краткий обзор </w:t>
      </w:r>
      <w:r w:rsidR="00385A99" w:rsidRPr="00A66A43">
        <w:t>ожидаемых</w:t>
      </w:r>
      <w:r w:rsidRPr="00A66A43">
        <w:t xml:space="preserve"> итогов социально-экономического развития сельского поселения Нялинское за 201</w:t>
      </w:r>
      <w:r w:rsidR="004F32CA">
        <w:t>9</w:t>
      </w:r>
      <w:r w:rsidRPr="00A66A43">
        <w:t xml:space="preserve"> год составлен на основании основных показателей социально-экономического развития сельского поселения Нялинское </w:t>
      </w:r>
      <w:r w:rsidR="00385A99" w:rsidRPr="00A66A43">
        <w:t>ожидаемых за 201</w:t>
      </w:r>
      <w:r w:rsidR="004F32CA">
        <w:t>9</w:t>
      </w:r>
      <w:r w:rsidR="00385A99" w:rsidRPr="00A66A43">
        <w:t xml:space="preserve"> год</w:t>
      </w:r>
      <w:r w:rsidRPr="00A66A43">
        <w:t>.</w:t>
      </w:r>
    </w:p>
    <w:p w:rsidR="0023631B" w:rsidRPr="00A66A43" w:rsidRDefault="0023631B" w:rsidP="0023631B">
      <w:pPr>
        <w:ind w:left="1215"/>
        <w:jc w:val="right"/>
      </w:pPr>
      <w:r w:rsidRPr="00A66A43">
        <w:t xml:space="preserve">Дата составления: </w:t>
      </w:r>
      <w:r w:rsidR="004C735C" w:rsidRPr="00A66A43">
        <w:t>2</w:t>
      </w:r>
      <w:r w:rsidR="004F32CA">
        <w:t>5</w:t>
      </w:r>
      <w:r w:rsidR="00115C21" w:rsidRPr="00A66A43">
        <w:t>.10.201</w:t>
      </w:r>
      <w:r w:rsidR="004F32CA">
        <w:t>9</w:t>
      </w:r>
      <w:r w:rsidRPr="00A66A43">
        <w:t>г.</w:t>
      </w:r>
    </w:p>
    <w:p w:rsidR="0023631B" w:rsidRPr="00A66A43" w:rsidRDefault="0023631B" w:rsidP="0023631B">
      <w:pPr>
        <w:ind w:left="1215"/>
        <w:jc w:val="right"/>
      </w:pPr>
      <w:r w:rsidRPr="00A66A43">
        <w:t xml:space="preserve">Исполнитель экономист АСП Нялинское </w:t>
      </w:r>
    </w:p>
    <w:p w:rsidR="0023631B" w:rsidRPr="00A66A43" w:rsidRDefault="0023631B" w:rsidP="0023631B">
      <w:pPr>
        <w:ind w:left="1215"/>
        <w:jc w:val="right"/>
      </w:pPr>
      <w:r w:rsidRPr="00A66A43">
        <w:t>Коптяева Надежда Валерьевна</w:t>
      </w:r>
    </w:p>
    <w:p w:rsidR="00C91D90" w:rsidRPr="00A66A43" w:rsidRDefault="0023631B" w:rsidP="0023631B">
      <w:pPr>
        <w:jc w:val="right"/>
        <w:rPr>
          <w:sz w:val="22"/>
          <w:szCs w:val="22"/>
        </w:rPr>
      </w:pPr>
      <w:r w:rsidRPr="00A66A43">
        <w:t>8 (3467) 373526, 373617</w:t>
      </w:r>
    </w:p>
    <w:sectPr w:rsidR="00C91D90" w:rsidRPr="00A66A43" w:rsidSect="004A18C1">
      <w:headerReference w:type="default" r:id="rId9"/>
      <w:pgSz w:w="11906" w:h="16838"/>
      <w:pgMar w:top="1134" w:right="12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F" w:rsidRDefault="0048084F" w:rsidP="004A18C1">
      <w:r>
        <w:separator/>
      </w:r>
    </w:p>
  </w:endnote>
  <w:endnote w:type="continuationSeparator" w:id="0">
    <w:p w:rsidR="0048084F" w:rsidRDefault="0048084F" w:rsidP="004A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F" w:rsidRDefault="0048084F" w:rsidP="004A18C1">
      <w:r>
        <w:separator/>
      </w:r>
    </w:p>
  </w:footnote>
  <w:footnote w:type="continuationSeparator" w:id="0">
    <w:p w:rsidR="0048084F" w:rsidRDefault="0048084F" w:rsidP="004A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C1" w:rsidRPr="004A18C1" w:rsidRDefault="004A18C1">
    <w:pPr>
      <w:pStyle w:val="aa"/>
      <w:jc w:val="center"/>
      <w:rPr>
        <w:sz w:val="20"/>
        <w:szCs w:val="20"/>
      </w:rPr>
    </w:pPr>
  </w:p>
  <w:p w:rsidR="004A18C1" w:rsidRDefault="004A18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571"/>
    <w:rsid w:val="00000C38"/>
    <w:rsid w:val="00004B10"/>
    <w:rsid w:val="00004F0B"/>
    <w:rsid w:val="0000607C"/>
    <w:rsid w:val="00007F14"/>
    <w:rsid w:val="00012B29"/>
    <w:rsid w:val="0001442E"/>
    <w:rsid w:val="00014706"/>
    <w:rsid w:val="00015C2E"/>
    <w:rsid w:val="00022D33"/>
    <w:rsid w:val="000238DD"/>
    <w:rsid w:val="00024EF3"/>
    <w:rsid w:val="000352CF"/>
    <w:rsid w:val="0003612E"/>
    <w:rsid w:val="00054FAC"/>
    <w:rsid w:val="00056A55"/>
    <w:rsid w:val="00061C23"/>
    <w:rsid w:val="00067FF4"/>
    <w:rsid w:val="00075AD3"/>
    <w:rsid w:val="00080F53"/>
    <w:rsid w:val="00085868"/>
    <w:rsid w:val="000933AB"/>
    <w:rsid w:val="00093BB5"/>
    <w:rsid w:val="000A146E"/>
    <w:rsid w:val="000A2680"/>
    <w:rsid w:val="000A4A16"/>
    <w:rsid w:val="000A7571"/>
    <w:rsid w:val="000B58DA"/>
    <w:rsid w:val="000B74C6"/>
    <w:rsid w:val="000C390F"/>
    <w:rsid w:val="000C422B"/>
    <w:rsid w:val="000C7F22"/>
    <w:rsid w:val="000D42DE"/>
    <w:rsid w:val="000E3EBF"/>
    <w:rsid w:val="000E480D"/>
    <w:rsid w:val="00113379"/>
    <w:rsid w:val="0011363D"/>
    <w:rsid w:val="0011532B"/>
    <w:rsid w:val="00115C21"/>
    <w:rsid w:val="00124FF6"/>
    <w:rsid w:val="0012699A"/>
    <w:rsid w:val="00127359"/>
    <w:rsid w:val="00130A73"/>
    <w:rsid w:val="00136A17"/>
    <w:rsid w:val="00141A6A"/>
    <w:rsid w:val="00142638"/>
    <w:rsid w:val="00142CD0"/>
    <w:rsid w:val="00142EAE"/>
    <w:rsid w:val="001452CD"/>
    <w:rsid w:val="00150722"/>
    <w:rsid w:val="00157720"/>
    <w:rsid w:val="001621A4"/>
    <w:rsid w:val="00166BF6"/>
    <w:rsid w:val="001761D4"/>
    <w:rsid w:val="0018549C"/>
    <w:rsid w:val="001903D9"/>
    <w:rsid w:val="00192F5A"/>
    <w:rsid w:val="001A0506"/>
    <w:rsid w:val="001A0D2D"/>
    <w:rsid w:val="001A2583"/>
    <w:rsid w:val="001A5AAF"/>
    <w:rsid w:val="001B7DB9"/>
    <w:rsid w:val="001C794E"/>
    <w:rsid w:val="001D3D7F"/>
    <w:rsid w:val="001D7C27"/>
    <w:rsid w:val="001E0F94"/>
    <w:rsid w:val="001E154D"/>
    <w:rsid w:val="001E24BF"/>
    <w:rsid w:val="001E7651"/>
    <w:rsid w:val="001F192D"/>
    <w:rsid w:val="001F1F9A"/>
    <w:rsid w:val="001F583A"/>
    <w:rsid w:val="00202E80"/>
    <w:rsid w:val="00211E79"/>
    <w:rsid w:val="00212AE1"/>
    <w:rsid w:val="00215B7C"/>
    <w:rsid w:val="0023631B"/>
    <w:rsid w:val="00251F88"/>
    <w:rsid w:val="00254BB1"/>
    <w:rsid w:val="00255A7D"/>
    <w:rsid w:val="00266572"/>
    <w:rsid w:val="00272AAF"/>
    <w:rsid w:val="002771FB"/>
    <w:rsid w:val="00282FEB"/>
    <w:rsid w:val="002901B4"/>
    <w:rsid w:val="002A457B"/>
    <w:rsid w:val="002B3F4F"/>
    <w:rsid w:val="002C2AC4"/>
    <w:rsid w:val="002E14FF"/>
    <w:rsid w:val="002E1BFB"/>
    <w:rsid w:val="00304DBE"/>
    <w:rsid w:val="00314545"/>
    <w:rsid w:val="003206CF"/>
    <w:rsid w:val="003224B8"/>
    <w:rsid w:val="003255D4"/>
    <w:rsid w:val="00331BAC"/>
    <w:rsid w:val="00333D15"/>
    <w:rsid w:val="0034160C"/>
    <w:rsid w:val="0034407B"/>
    <w:rsid w:val="00344E63"/>
    <w:rsid w:val="00347CEA"/>
    <w:rsid w:val="00354504"/>
    <w:rsid w:val="00366B76"/>
    <w:rsid w:val="00367D69"/>
    <w:rsid w:val="0037739F"/>
    <w:rsid w:val="0038009F"/>
    <w:rsid w:val="003806A9"/>
    <w:rsid w:val="00382E52"/>
    <w:rsid w:val="003831A0"/>
    <w:rsid w:val="00385136"/>
    <w:rsid w:val="00385A99"/>
    <w:rsid w:val="00394D40"/>
    <w:rsid w:val="003A28D9"/>
    <w:rsid w:val="003C631A"/>
    <w:rsid w:val="003D721A"/>
    <w:rsid w:val="003E02E9"/>
    <w:rsid w:val="003E3629"/>
    <w:rsid w:val="003E376C"/>
    <w:rsid w:val="003E4065"/>
    <w:rsid w:val="003E53DE"/>
    <w:rsid w:val="003E6E6B"/>
    <w:rsid w:val="003E7FC2"/>
    <w:rsid w:val="003F49F7"/>
    <w:rsid w:val="004014C0"/>
    <w:rsid w:val="004130B9"/>
    <w:rsid w:val="00423481"/>
    <w:rsid w:val="00432EDD"/>
    <w:rsid w:val="00455983"/>
    <w:rsid w:val="004572BA"/>
    <w:rsid w:val="0048084F"/>
    <w:rsid w:val="004858DA"/>
    <w:rsid w:val="00491AC2"/>
    <w:rsid w:val="004972F1"/>
    <w:rsid w:val="004A0AB9"/>
    <w:rsid w:val="004A18C1"/>
    <w:rsid w:val="004A679F"/>
    <w:rsid w:val="004A705A"/>
    <w:rsid w:val="004B1F8A"/>
    <w:rsid w:val="004C3108"/>
    <w:rsid w:val="004C735C"/>
    <w:rsid w:val="004D0326"/>
    <w:rsid w:val="004D7E4A"/>
    <w:rsid w:val="004E663A"/>
    <w:rsid w:val="004F1FB7"/>
    <w:rsid w:val="004F2AB7"/>
    <w:rsid w:val="004F32CA"/>
    <w:rsid w:val="004F6B93"/>
    <w:rsid w:val="0050308F"/>
    <w:rsid w:val="005059DC"/>
    <w:rsid w:val="00511AE5"/>
    <w:rsid w:val="00516084"/>
    <w:rsid w:val="00521188"/>
    <w:rsid w:val="00525765"/>
    <w:rsid w:val="00527CF1"/>
    <w:rsid w:val="005354D7"/>
    <w:rsid w:val="00535944"/>
    <w:rsid w:val="005470C1"/>
    <w:rsid w:val="00550D79"/>
    <w:rsid w:val="005655A2"/>
    <w:rsid w:val="005844FC"/>
    <w:rsid w:val="0059291F"/>
    <w:rsid w:val="00594408"/>
    <w:rsid w:val="005957AF"/>
    <w:rsid w:val="00595F8C"/>
    <w:rsid w:val="005A215C"/>
    <w:rsid w:val="005A50CE"/>
    <w:rsid w:val="005A6D6C"/>
    <w:rsid w:val="005B0B77"/>
    <w:rsid w:val="005B341B"/>
    <w:rsid w:val="005C04D1"/>
    <w:rsid w:val="005C4A61"/>
    <w:rsid w:val="005C6E3A"/>
    <w:rsid w:val="005D3783"/>
    <w:rsid w:val="005D6236"/>
    <w:rsid w:val="005E2CB1"/>
    <w:rsid w:val="005E6A20"/>
    <w:rsid w:val="005F2DF2"/>
    <w:rsid w:val="005F2EA8"/>
    <w:rsid w:val="00611945"/>
    <w:rsid w:val="006142A3"/>
    <w:rsid w:val="0063476B"/>
    <w:rsid w:val="00645AB9"/>
    <w:rsid w:val="006476E7"/>
    <w:rsid w:val="00650B30"/>
    <w:rsid w:val="006530E5"/>
    <w:rsid w:val="00654BD1"/>
    <w:rsid w:val="006618E1"/>
    <w:rsid w:val="00675128"/>
    <w:rsid w:val="00684E56"/>
    <w:rsid w:val="00686E2F"/>
    <w:rsid w:val="00690B58"/>
    <w:rsid w:val="0069399A"/>
    <w:rsid w:val="006A4D31"/>
    <w:rsid w:val="006B263D"/>
    <w:rsid w:val="006C2768"/>
    <w:rsid w:val="006C356F"/>
    <w:rsid w:val="006C4C73"/>
    <w:rsid w:val="006C6EFA"/>
    <w:rsid w:val="006D50F8"/>
    <w:rsid w:val="006F09CC"/>
    <w:rsid w:val="006F4C65"/>
    <w:rsid w:val="006F5F3E"/>
    <w:rsid w:val="0070471B"/>
    <w:rsid w:val="00717293"/>
    <w:rsid w:val="00720E42"/>
    <w:rsid w:val="00720EC0"/>
    <w:rsid w:val="007219B3"/>
    <w:rsid w:val="00722FD8"/>
    <w:rsid w:val="00725B54"/>
    <w:rsid w:val="00735E97"/>
    <w:rsid w:val="00743678"/>
    <w:rsid w:val="00746AEB"/>
    <w:rsid w:val="007711E0"/>
    <w:rsid w:val="007730AD"/>
    <w:rsid w:val="007825E5"/>
    <w:rsid w:val="00784EB1"/>
    <w:rsid w:val="00785105"/>
    <w:rsid w:val="007946A4"/>
    <w:rsid w:val="007A100B"/>
    <w:rsid w:val="007A674E"/>
    <w:rsid w:val="007B3E1D"/>
    <w:rsid w:val="007B51EE"/>
    <w:rsid w:val="007C61BD"/>
    <w:rsid w:val="007C73AA"/>
    <w:rsid w:val="007C7CA6"/>
    <w:rsid w:val="007D3C67"/>
    <w:rsid w:val="007D41CA"/>
    <w:rsid w:val="007E448A"/>
    <w:rsid w:val="007E61F0"/>
    <w:rsid w:val="007F3C92"/>
    <w:rsid w:val="00806B90"/>
    <w:rsid w:val="008109B7"/>
    <w:rsid w:val="0081162F"/>
    <w:rsid w:val="008125E6"/>
    <w:rsid w:val="00814DBB"/>
    <w:rsid w:val="00821F15"/>
    <w:rsid w:val="00823B6D"/>
    <w:rsid w:val="00823F20"/>
    <w:rsid w:val="008263F2"/>
    <w:rsid w:val="00826AAB"/>
    <w:rsid w:val="0082770C"/>
    <w:rsid w:val="008365A6"/>
    <w:rsid w:val="00843E8C"/>
    <w:rsid w:val="0085253C"/>
    <w:rsid w:val="008658CE"/>
    <w:rsid w:val="00865AA2"/>
    <w:rsid w:val="00875555"/>
    <w:rsid w:val="00891665"/>
    <w:rsid w:val="00891CF2"/>
    <w:rsid w:val="00897C2C"/>
    <w:rsid w:val="008A2C79"/>
    <w:rsid w:val="008A3779"/>
    <w:rsid w:val="008A5414"/>
    <w:rsid w:val="008C2086"/>
    <w:rsid w:val="008C39F2"/>
    <w:rsid w:val="008C791A"/>
    <w:rsid w:val="008D6114"/>
    <w:rsid w:val="008D6E4C"/>
    <w:rsid w:val="008F0BB3"/>
    <w:rsid w:val="008F2330"/>
    <w:rsid w:val="008F79ED"/>
    <w:rsid w:val="00901A9E"/>
    <w:rsid w:val="00907A10"/>
    <w:rsid w:val="009115F4"/>
    <w:rsid w:val="00913CB5"/>
    <w:rsid w:val="00916A83"/>
    <w:rsid w:val="00917D1E"/>
    <w:rsid w:val="00944768"/>
    <w:rsid w:val="00953381"/>
    <w:rsid w:val="00955B63"/>
    <w:rsid w:val="0096354B"/>
    <w:rsid w:val="00986AA1"/>
    <w:rsid w:val="00995E68"/>
    <w:rsid w:val="009A00C0"/>
    <w:rsid w:val="009A0665"/>
    <w:rsid w:val="009A3B2E"/>
    <w:rsid w:val="009B6127"/>
    <w:rsid w:val="009B61E7"/>
    <w:rsid w:val="009C62D4"/>
    <w:rsid w:val="009D14C2"/>
    <w:rsid w:val="009D247C"/>
    <w:rsid w:val="009D4969"/>
    <w:rsid w:val="009E2663"/>
    <w:rsid w:val="009E52EF"/>
    <w:rsid w:val="009E76AF"/>
    <w:rsid w:val="009F0A8D"/>
    <w:rsid w:val="009F3038"/>
    <w:rsid w:val="00A013DB"/>
    <w:rsid w:val="00A142A3"/>
    <w:rsid w:val="00A153EA"/>
    <w:rsid w:val="00A255E6"/>
    <w:rsid w:val="00A34778"/>
    <w:rsid w:val="00A34EC1"/>
    <w:rsid w:val="00A46E84"/>
    <w:rsid w:val="00A51E63"/>
    <w:rsid w:val="00A65C35"/>
    <w:rsid w:val="00A66A43"/>
    <w:rsid w:val="00A77448"/>
    <w:rsid w:val="00A828B2"/>
    <w:rsid w:val="00A82DB9"/>
    <w:rsid w:val="00A90565"/>
    <w:rsid w:val="00A9061D"/>
    <w:rsid w:val="00A94862"/>
    <w:rsid w:val="00AA4C1D"/>
    <w:rsid w:val="00AB3C34"/>
    <w:rsid w:val="00AC3863"/>
    <w:rsid w:val="00AC3EB3"/>
    <w:rsid w:val="00AC5215"/>
    <w:rsid w:val="00AD2D61"/>
    <w:rsid w:val="00AE16BA"/>
    <w:rsid w:val="00AE2B66"/>
    <w:rsid w:val="00AE43F6"/>
    <w:rsid w:val="00AF39CC"/>
    <w:rsid w:val="00AF7CF9"/>
    <w:rsid w:val="00AF7E31"/>
    <w:rsid w:val="00B12F41"/>
    <w:rsid w:val="00B15577"/>
    <w:rsid w:val="00B237E4"/>
    <w:rsid w:val="00B31331"/>
    <w:rsid w:val="00B34332"/>
    <w:rsid w:val="00B46A46"/>
    <w:rsid w:val="00B533C6"/>
    <w:rsid w:val="00B5363B"/>
    <w:rsid w:val="00B53B89"/>
    <w:rsid w:val="00B67562"/>
    <w:rsid w:val="00B716CE"/>
    <w:rsid w:val="00B71973"/>
    <w:rsid w:val="00B8012B"/>
    <w:rsid w:val="00B84486"/>
    <w:rsid w:val="00B86634"/>
    <w:rsid w:val="00B87D14"/>
    <w:rsid w:val="00BA4E9B"/>
    <w:rsid w:val="00BA6A37"/>
    <w:rsid w:val="00BC0D57"/>
    <w:rsid w:val="00BC237E"/>
    <w:rsid w:val="00BD60D6"/>
    <w:rsid w:val="00BD670D"/>
    <w:rsid w:val="00BE1F2C"/>
    <w:rsid w:val="00BE2A8C"/>
    <w:rsid w:val="00BE70A2"/>
    <w:rsid w:val="00BF3EC0"/>
    <w:rsid w:val="00BF60A4"/>
    <w:rsid w:val="00C07553"/>
    <w:rsid w:val="00C23DEA"/>
    <w:rsid w:val="00C41000"/>
    <w:rsid w:val="00C431E0"/>
    <w:rsid w:val="00C43C77"/>
    <w:rsid w:val="00C51894"/>
    <w:rsid w:val="00C5627B"/>
    <w:rsid w:val="00C57B9D"/>
    <w:rsid w:val="00C65357"/>
    <w:rsid w:val="00C71A85"/>
    <w:rsid w:val="00C726D0"/>
    <w:rsid w:val="00C81728"/>
    <w:rsid w:val="00C81744"/>
    <w:rsid w:val="00C81F43"/>
    <w:rsid w:val="00C8441D"/>
    <w:rsid w:val="00C8631C"/>
    <w:rsid w:val="00C91D90"/>
    <w:rsid w:val="00CA1193"/>
    <w:rsid w:val="00CA5479"/>
    <w:rsid w:val="00CA5BAF"/>
    <w:rsid w:val="00CB187A"/>
    <w:rsid w:val="00CB4B8E"/>
    <w:rsid w:val="00CC0B29"/>
    <w:rsid w:val="00CC0C22"/>
    <w:rsid w:val="00CC6914"/>
    <w:rsid w:val="00CC7144"/>
    <w:rsid w:val="00CD5349"/>
    <w:rsid w:val="00CD6188"/>
    <w:rsid w:val="00CD6A56"/>
    <w:rsid w:val="00CD7582"/>
    <w:rsid w:val="00CE1968"/>
    <w:rsid w:val="00CE20B7"/>
    <w:rsid w:val="00CE51D8"/>
    <w:rsid w:val="00CF2110"/>
    <w:rsid w:val="00CF21F1"/>
    <w:rsid w:val="00CF31A4"/>
    <w:rsid w:val="00CF715E"/>
    <w:rsid w:val="00D04CD8"/>
    <w:rsid w:val="00D20037"/>
    <w:rsid w:val="00D2022B"/>
    <w:rsid w:val="00D20F61"/>
    <w:rsid w:val="00D210C6"/>
    <w:rsid w:val="00D24E6D"/>
    <w:rsid w:val="00D432F2"/>
    <w:rsid w:val="00D43E56"/>
    <w:rsid w:val="00D44D9C"/>
    <w:rsid w:val="00D51691"/>
    <w:rsid w:val="00D5308E"/>
    <w:rsid w:val="00D56971"/>
    <w:rsid w:val="00D614F8"/>
    <w:rsid w:val="00D65794"/>
    <w:rsid w:val="00D71A6F"/>
    <w:rsid w:val="00D72EF8"/>
    <w:rsid w:val="00D85CA3"/>
    <w:rsid w:val="00DA0312"/>
    <w:rsid w:val="00DA0A88"/>
    <w:rsid w:val="00DA414F"/>
    <w:rsid w:val="00DA79F0"/>
    <w:rsid w:val="00DB1D6F"/>
    <w:rsid w:val="00DB411D"/>
    <w:rsid w:val="00DC4EA4"/>
    <w:rsid w:val="00DE184C"/>
    <w:rsid w:val="00DE247F"/>
    <w:rsid w:val="00DE47C0"/>
    <w:rsid w:val="00DF2365"/>
    <w:rsid w:val="00DF42CA"/>
    <w:rsid w:val="00E0687A"/>
    <w:rsid w:val="00E0687C"/>
    <w:rsid w:val="00E15D89"/>
    <w:rsid w:val="00E23DE5"/>
    <w:rsid w:val="00E24DCB"/>
    <w:rsid w:val="00E26444"/>
    <w:rsid w:val="00E26D49"/>
    <w:rsid w:val="00E27BE1"/>
    <w:rsid w:val="00E33F31"/>
    <w:rsid w:val="00E41152"/>
    <w:rsid w:val="00E53039"/>
    <w:rsid w:val="00E55572"/>
    <w:rsid w:val="00E600BD"/>
    <w:rsid w:val="00E61382"/>
    <w:rsid w:val="00E6195C"/>
    <w:rsid w:val="00E7400A"/>
    <w:rsid w:val="00E75466"/>
    <w:rsid w:val="00E80336"/>
    <w:rsid w:val="00E91228"/>
    <w:rsid w:val="00E97665"/>
    <w:rsid w:val="00EA1A7C"/>
    <w:rsid w:val="00EA1C96"/>
    <w:rsid w:val="00EA3D3B"/>
    <w:rsid w:val="00EA44FE"/>
    <w:rsid w:val="00EA6CC1"/>
    <w:rsid w:val="00EB6018"/>
    <w:rsid w:val="00EB6EB5"/>
    <w:rsid w:val="00EB6FD1"/>
    <w:rsid w:val="00ED1C0A"/>
    <w:rsid w:val="00ED69C6"/>
    <w:rsid w:val="00EE4DC5"/>
    <w:rsid w:val="00EE7BD7"/>
    <w:rsid w:val="00EF4F50"/>
    <w:rsid w:val="00EF5045"/>
    <w:rsid w:val="00F02728"/>
    <w:rsid w:val="00F14F54"/>
    <w:rsid w:val="00F200E8"/>
    <w:rsid w:val="00F23B93"/>
    <w:rsid w:val="00F25D04"/>
    <w:rsid w:val="00F27CDC"/>
    <w:rsid w:val="00F30F9A"/>
    <w:rsid w:val="00F3776B"/>
    <w:rsid w:val="00F5170C"/>
    <w:rsid w:val="00F533BE"/>
    <w:rsid w:val="00F6163C"/>
    <w:rsid w:val="00F635AA"/>
    <w:rsid w:val="00F70CAA"/>
    <w:rsid w:val="00F7342D"/>
    <w:rsid w:val="00F76F19"/>
    <w:rsid w:val="00F9657E"/>
    <w:rsid w:val="00F97278"/>
    <w:rsid w:val="00FA0625"/>
    <w:rsid w:val="00FA394A"/>
    <w:rsid w:val="00FA4CE8"/>
    <w:rsid w:val="00FA702A"/>
    <w:rsid w:val="00FC19AE"/>
    <w:rsid w:val="00FC2F15"/>
    <w:rsid w:val="00FC2F6B"/>
    <w:rsid w:val="00FC54FC"/>
    <w:rsid w:val="00FC5D36"/>
    <w:rsid w:val="00FD1A4D"/>
    <w:rsid w:val="00FD2895"/>
    <w:rsid w:val="00FE041C"/>
    <w:rsid w:val="00FE1F6C"/>
    <w:rsid w:val="00FE67BE"/>
    <w:rsid w:val="00FF1EC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5C21"/>
    <w:pPr>
      <w:ind w:left="720"/>
      <w:contextualSpacing/>
    </w:pPr>
  </w:style>
  <w:style w:type="paragraph" w:styleId="a8">
    <w:name w:val="No Spacing"/>
    <w:link w:val="a9"/>
    <w:uiPriority w:val="1"/>
    <w:qFormat/>
    <w:rsid w:val="00A142A3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142A3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4A18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8C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4A18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8C1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A18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18C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C5472-E554-4526-93D6-3C1D4A72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355</cp:revision>
  <cp:lastPrinted>2019-10-29T06:08:00Z</cp:lastPrinted>
  <dcterms:created xsi:type="dcterms:W3CDTF">2015-11-06T05:02:00Z</dcterms:created>
  <dcterms:modified xsi:type="dcterms:W3CDTF">2019-10-29T06:09:00Z</dcterms:modified>
</cp:coreProperties>
</file>